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DAEEF3"/>
  <w:body>
    <w:p w:rsidR="00000000" w:rsidDel="00000000" w:rsidP="00000000" w:rsidRDefault="00000000" w:rsidRPr="00000000">
      <w:pPr>
        <w:spacing w:after="240" w:lineRule="auto"/>
        <w:contextualSpacing w:val="0"/>
        <w:jc w:val="center"/>
      </w:pPr>
      <w:r w:rsidDel="00000000" w:rsidR="00000000" w:rsidRPr="00000000">
        <w:rPr>
          <w:rFonts w:ascii="Verdana" w:cs="Verdana" w:eastAsia="Verdana" w:hAnsi="Verdana"/>
          <w:b w:val="1"/>
          <w:i w:val="1"/>
          <w:sz w:val="26"/>
          <w:szCs w:val="26"/>
          <w:rtl w:val="0"/>
        </w:rPr>
        <w:t xml:space="preserve">Hij deed zijn mond niet open</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Preek over Jesaja 52,13-</w:t>
      </w:r>
      <w:r w:rsidDel="00000000" w:rsidR="00000000" w:rsidRPr="00000000">
        <w:rPr>
          <w:rtl w:val="0"/>
        </w:rPr>
        <w:t xml:space="preserve">5</w:t>
      </w:r>
      <w:r w:rsidDel="00000000" w:rsidR="00000000" w:rsidRPr="00000000">
        <w:rPr>
          <w:rFonts w:ascii="Times New Roman" w:cs="Times New Roman" w:eastAsia="Times New Roman" w:hAnsi="Times New Roman"/>
          <w:b w:val="0"/>
          <w:sz w:val="24"/>
          <w:szCs w:val="24"/>
          <w:rtl w:val="0"/>
        </w:rPr>
        <w:t xml:space="preserve">3,12</w:t>
      </w: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rtl w:val="0"/>
        </w:rPr>
        <w:t xml:space="preserve">Vierde profetie over ‘de dienaar’</w:t>
      </w:r>
    </w:p>
    <w:p w:rsidR="00000000" w:rsidDel="00000000" w:rsidP="00000000" w:rsidRDefault="00000000" w:rsidRPr="00000000">
      <w:pPr>
        <w:spacing w:after="240" w:lineRule="auto"/>
        <w:contextualSpacing w:val="0"/>
        <w:jc w:val="center"/>
      </w:pPr>
      <w:r w:rsidDel="00000000" w:rsidR="00000000" w:rsidRPr="00000000">
        <w:rPr>
          <w:rFonts w:ascii="Verdana" w:cs="Verdana" w:eastAsia="Verdana" w:hAnsi="Verdana"/>
          <w:i w:val="1"/>
          <w:sz w:val="20"/>
          <w:szCs w:val="20"/>
          <w:rtl w:val="0"/>
        </w:rPr>
        <w:t xml:space="preserve">Ter gelegenheid van de viering van het heilig avondmaal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Bedum, 17 november 2013; Zuidbroek, 1 december 2013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Fonts w:ascii="Verdana" w:cs="Verdana" w:eastAsia="Verdana" w:hAnsi="Verdana"/>
          <w:sz w:val="20"/>
          <w:szCs w:val="20"/>
          <w:rtl w:val="0"/>
        </w:rPr>
        <w:t xml:space="preserve">Ds. Marten de Vries</w:t>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Gemeente van Jezus Christus, mijn broeders en zusters,</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i w:val="1"/>
          <w:sz w:val="20"/>
          <w:szCs w:val="20"/>
          <w:rtl w:val="0"/>
        </w:rPr>
        <w:t xml:space="preserve">De meeste mensen geloofden niet</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Wat denk je? Voor wie zou het makkelijker zijn om te geloven? Voor de mensen die leefden in de tijd van Jezus? Of voor ons vandaag? Je zou zeggen: voor de mensen van het jaar nul. Die zagen Hem met eigen ogen. Die hoorden Hem met eigen oren. Ze konden Hem aanraken.</w:t>
      </w:r>
      <w:r w:rsidDel="00000000" w:rsidR="00000000" w:rsidRPr="00000000">
        <w:rPr>
          <w:rFonts w:ascii="Times New Roman" w:cs="Times New Roman" w:eastAsia="Times New Roman" w:hAnsi="Times New Roman"/>
          <w:b w:val="0"/>
          <w:sz w:val="20"/>
          <w:szCs w:val="20"/>
          <w:vertAlign w:val="superscript"/>
        </w:rPr>
        <w:footnoteReference w:customMarkFollows="0" w:id="0"/>
      </w:r>
      <w:r w:rsidDel="00000000" w:rsidR="00000000" w:rsidRPr="00000000">
        <w:rPr>
          <w:rFonts w:ascii="Times New Roman" w:cs="Times New Roman" w:eastAsia="Times New Roman" w:hAnsi="Times New Roman"/>
          <w:b w:val="0"/>
          <w:sz w:val="20"/>
          <w:szCs w:val="20"/>
          <w:rtl w:val="0"/>
        </w:rPr>
        <w:t xml:space="preserve"> Dingen aan Hem vragen. Er zit wel wat in. De verhalen over Jezus zijn geloofwaardig omdat er getuigen waren.</w:t>
      </w:r>
      <w:r w:rsidDel="00000000" w:rsidR="00000000" w:rsidRPr="00000000">
        <w:rPr>
          <w:rFonts w:ascii="Times New Roman" w:cs="Times New Roman" w:eastAsia="Times New Roman" w:hAnsi="Times New Roman"/>
          <w:b w:val="0"/>
          <w:sz w:val="20"/>
          <w:szCs w:val="20"/>
          <w:vertAlign w:val="superscript"/>
        </w:rPr>
        <w:footnoteReference w:customMarkFollows="0" w:id="1"/>
      </w:r>
      <w:r w:rsidDel="00000000" w:rsidR="00000000" w:rsidRPr="00000000">
        <w:rPr>
          <w:rFonts w:ascii="Times New Roman" w:cs="Times New Roman" w:eastAsia="Times New Roman" w:hAnsi="Times New Roman"/>
          <w:b w:val="0"/>
          <w:sz w:val="20"/>
          <w:szCs w:val="20"/>
          <w:rtl w:val="0"/>
        </w:rPr>
        <w:t xml:space="preserve"> Tegelijk weten we dat niet alle mensen die Jezus van dichtbij meemaakten in Hem geloofden. De meesten niet zelfs. Hoe kon dat dan? Had dat jou ook kunnen overkomen?</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i w:val="1"/>
          <w:sz w:val="20"/>
          <w:szCs w:val="20"/>
          <w:rtl w:val="0"/>
        </w:rPr>
        <w:t xml:space="preserve">Hij zag er gewoon niet uit</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Het zal te maken hebben met de verschijning van Jezus. Hij zag er gewoon niet uit. Niet als een leider, een redder, een messiasfiguur. Ja, als Hij wonderen deed, mensen genas, brood uitdeelde. Maar niet toen Hij zijn eigenlijke missie volbracht. Jesaja zag het er al van komen. ‘Onopvallend was zijn uiterlijk, hij miste iedere schoonheid, zijn aanblik kon ons niet bekoren.’ ‘Veracht, door mensen gemeden’. ‘Verguisd, geminacht.’ Denk aan het kruis. Het ontlokte spot bij Jezus’ vijanden. Ook zijn eigen leerlingen moesten er eerst niets van hebben. “God verhoede het, Heer! Dat zal U zeker niet gebeuren!”, zei Petrus.</w:t>
      </w:r>
      <w:r w:rsidDel="00000000" w:rsidR="00000000" w:rsidRPr="00000000">
        <w:rPr>
          <w:rFonts w:ascii="Times New Roman" w:cs="Times New Roman" w:eastAsia="Times New Roman" w:hAnsi="Times New Roman"/>
          <w:b w:val="0"/>
          <w:sz w:val="20"/>
          <w:szCs w:val="20"/>
          <w:vertAlign w:val="superscript"/>
        </w:rPr>
        <w:footnoteReference w:customMarkFollows="0" w:id="2"/>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Stel, hier in Bedum komen ‘wijzen uit het Oosten’. Ze vertellen over hun grote leider voor wie ze alles over hebben. Ze laten plaatjes zien. Van een uitgemergelde man die wordt geëxecuteerd. Doodgemarteld. Nee, hij heeft niets en dan ook niets fout gedaan. Het is een complot geweest. Maar de zielenpiet is alles voor hen. Moet jij ook in geloven. Je wijst naar je voorhoofd. Wat? Hij is daarna weer tot leven gekomen? Het moet niet nog gekker worden. Maar… dit lijkt sprekend op wat wij belijden. Zou jij 2000 jaar geleden aan de kant van de gelovigen hebben gestaan?</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i w:val="1"/>
          <w:sz w:val="20"/>
          <w:szCs w:val="20"/>
          <w:rtl w:val="0"/>
        </w:rPr>
        <w:t xml:space="preserve">Je verstopt je liever in de bosjes</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0"/>
          <w:szCs w:val="20"/>
          <w:rtl w:val="0"/>
        </w:rPr>
        <w:t xml:space="preserve">De moeite om Jezus te accepteren kan ook met jezelf te maken hebben. “Hij was het die onze ziekten droeg, die ons lijden op zich nam.” “Om onze zonden werd Hij doorboord, om onze wandaden gebroken.” Oké, ‘je verlosser hangt aan ’t kruis’.</w:t>
      </w:r>
      <w:r w:rsidDel="00000000" w:rsidR="00000000" w:rsidRPr="00000000">
        <w:rPr>
          <w:rFonts w:ascii="Times New Roman" w:cs="Times New Roman" w:eastAsia="Times New Roman" w:hAnsi="Times New Roman"/>
          <w:b w:val="0"/>
          <w:sz w:val="20"/>
          <w:szCs w:val="20"/>
          <w:vertAlign w:val="superscript"/>
        </w:rPr>
        <w:footnoteReference w:customMarkFollows="0" w:id="3"/>
      </w:r>
      <w:r w:rsidDel="00000000" w:rsidR="00000000" w:rsidRPr="00000000">
        <w:rPr>
          <w:rFonts w:ascii="Times New Roman" w:cs="Times New Roman" w:eastAsia="Times New Roman" w:hAnsi="Times New Roman"/>
          <w:b w:val="0"/>
          <w:sz w:val="20"/>
          <w:szCs w:val="20"/>
          <w:rtl w:val="0"/>
        </w:rPr>
        <w:t xml:space="preserve"> Hij hangt er mooi bij. Als een icoon. Aan een gestileerd kruis. De bloedstrepen zorgvuldig geschilderd. Niet helemaal bloot natuurlijk. Een fraaie lendendoek artistiek om zijn middel gedrapeerd... Waarom eigenlijk? Omdat je anders zelf voor schut hangt? Omdat je anders je eigen naaktheid onder ogen moet zien? Je verstopt je – net als Adam – liever in de bosjes!</w:t>
      </w:r>
      <w:r w:rsidDel="00000000" w:rsidR="00000000" w:rsidRPr="00000000">
        <w:rPr>
          <w:rFonts w:ascii="Times New Roman" w:cs="Times New Roman" w:eastAsia="Times New Roman" w:hAnsi="Times New Roman"/>
          <w:b w:val="0"/>
          <w:sz w:val="20"/>
          <w:szCs w:val="20"/>
          <w:vertAlign w:val="superscript"/>
        </w:rPr>
        <w:footnoteReference w:customMarkFollows="0" w:id="4"/>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bookmarkStart w:colFirst="0" w:colLast="0" w:name="h.gjdgxs" w:id="0"/>
      <w:bookmarkEnd w:id="0"/>
      <w:r w:rsidDel="00000000" w:rsidR="00000000" w:rsidRPr="00000000">
        <w:rPr>
          <w:rFonts w:ascii="Times New Roman" w:cs="Times New Roman" w:eastAsia="Times New Roman" w:hAnsi="Times New Roman"/>
          <w:b w:val="0"/>
          <w:i w:val="1"/>
          <w:sz w:val="20"/>
          <w:szCs w:val="20"/>
          <w:rtl w:val="0"/>
        </w:rPr>
        <w:t xml:space="preserve">Avondmaal: wil je dat echt?</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Straks is het avondmaal. Wil je dat wel echt? Dat brood, die wijn? Toegeven dat je geen haar beter bent dan de eerste mens? Erkennen dat je jezelf niet redden kunt? Dat je totaal afhankelijk bent van iemand anders? En dan ook nog niet van een stoere gezonde krachtpatser met gulle lach? Maar van een dertiger die ze alle kleren van het kapotgeslagen lijf hebben gerukt? Een gehavende man onder de striemen? Die aan alle ziektes van de wereld lijdt? Waar je niet fatsoenlijk naar kunt kijken? Al helemaal niet zou willen aanraken? Je mocht er eens wat van krijgen!</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i w:val="1"/>
          <w:sz w:val="20"/>
          <w:szCs w:val="20"/>
          <w:rtl w:val="0"/>
        </w:rPr>
        <w:t xml:space="preserve">Vuiligheid, schuld en schande op Jezus</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Maar dat is precies de bedoeling. Volgens Gods plan. Voel je je wel eens vies wanneer je terugdenkt aan wat je ooit of onlangs gedaan hebt? Jezus werd in het modderige Jordaanwater ondergedompeld. Hij nam de vuiligheid die van anderen was afgespoeld op z’n nek.</w:t>
      </w:r>
      <w:r w:rsidDel="00000000" w:rsidR="00000000" w:rsidRPr="00000000">
        <w:rPr>
          <w:rFonts w:ascii="Times New Roman" w:cs="Times New Roman" w:eastAsia="Times New Roman" w:hAnsi="Times New Roman"/>
          <w:b w:val="0"/>
          <w:sz w:val="20"/>
          <w:szCs w:val="20"/>
          <w:vertAlign w:val="superscript"/>
        </w:rPr>
        <w:footnoteReference w:customMarkFollows="0" w:id="5"/>
      </w:r>
      <w:r w:rsidDel="00000000" w:rsidR="00000000" w:rsidRPr="00000000">
        <w:rPr>
          <w:rFonts w:ascii="Times New Roman" w:cs="Times New Roman" w:eastAsia="Times New Roman" w:hAnsi="Times New Roman"/>
          <w:b w:val="0"/>
          <w:sz w:val="20"/>
          <w:szCs w:val="20"/>
          <w:rtl w:val="0"/>
        </w:rPr>
        <w:t xml:space="preserve"> Voel je je wel eens schuldig? Het hoeft geen complex te worden: Jezus ‘offerde zijn leven voor jouw schuld’. Droom je wel eens dat je buiten loopt en vergeten bent je aan te kleden? Het hoeft niet meer dan een boze droom te zijn. Jezus hing voor paal zodat jij nooit meer te schande wordt. </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i w:val="1"/>
          <w:sz w:val="20"/>
          <w:szCs w:val="20"/>
          <w:rtl w:val="0"/>
        </w:rPr>
        <w:t xml:space="preserve">Duizendmaal dank</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We hebben Jesaja 53 gelezen en spreken over Jezus. Kan dat? Volgens de Joden gaat dat het hier over Israël. Hun volk is ‘Gods dienaar’ die zoveel te lijden heeft. Gelukkig gaat deze en de drie voorgaande profetieën van Jesaja over de ‘dienaar’ niet over mensen. De Geest inspireerde de zoon van Amos</w:t>
      </w:r>
      <w:r w:rsidDel="00000000" w:rsidR="00000000" w:rsidRPr="00000000">
        <w:rPr>
          <w:rFonts w:ascii="Times New Roman" w:cs="Times New Roman" w:eastAsia="Times New Roman" w:hAnsi="Times New Roman"/>
          <w:b w:val="0"/>
          <w:sz w:val="20"/>
          <w:szCs w:val="20"/>
          <w:vertAlign w:val="superscript"/>
        </w:rPr>
        <w:footnoteReference w:customMarkFollows="0" w:id="6"/>
      </w:r>
      <w:r w:rsidDel="00000000" w:rsidR="00000000" w:rsidRPr="00000000">
        <w:rPr>
          <w:rFonts w:ascii="Times New Roman" w:cs="Times New Roman" w:eastAsia="Times New Roman" w:hAnsi="Times New Roman"/>
          <w:b w:val="0"/>
          <w:sz w:val="20"/>
          <w:szCs w:val="20"/>
          <w:rtl w:val="0"/>
        </w:rPr>
        <w:t xml:space="preserve"> om te zingen over het grootste mysterie uit de geschiedenis. Te wonderlijk om niet waar te wezen. Eeuwen later leest een Afrikaanse castraat de woorden van de tekst. Hij snapt het niet. Een engel stuurt Filippus die met Jesaja 53 als uitgangspunt het evangelie van Jezus vertelt.</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i w:val="1"/>
          <w:sz w:val="20"/>
          <w:szCs w:val="20"/>
          <w:rtl w:val="0"/>
        </w:rPr>
        <w:t xml:space="preserve">Jezus zag zichzelf in Jesaja 53</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Jezus zag zichzelf in Jesaja 53. “Over de mensenzoon staat geschreven dat Hij veel moet lijden en met verachting behandeld zal worden”, zei Hij.</w:t>
      </w:r>
      <w:r w:rsidDel="00000000" w:rsidR="00000000" w:rsidRPr="00000000">
        <w:rPr>
          <w:rFonts w:ascii="Times New Roman" w:cs="Times New Roman" w:eastAsia="Times New Roman" w:hAnsi="Times New Roman"/>
          <w:b w:val="0"/>
          <w:sz w:val="20"/>
          <w:szCs w:val="20"/>
          <w:vertAlign w:val="superscript"/>
        </w:rPr>
        <w:footnoteReference w:customMarkFollows="0" w:id="7"/>
      </w:r>
      <w:r w:rsidDel="00000000" w:rsidR="00000000" w:rsidRPr="00000000">
        <w:rPr>
          <w:rFonts w:ascii="Times New Roman" w:cs="Times New Roman" w:eastAsia="Times New Roman" w:hAnsi="Times New Roman"/>
          <w:b w:val="0"/>
          <w:sz w:val="20"/>
          <w:szCs w:val="20"/>
          <w:rtl w:val="0"/>
        </w:rPr>
        <w:t xml:space="preserve"> En: “Wat geschreven staat, moet in Mij tot vervulling komen, namelijk: ‘Hij werd gerekend tot de wettelozen’”.</w:t>
      </w:r>
      <w:r w:rsidDel="00000000" w:rsidR="00000000" w:rsidRPr="00000000">
        <w:rPr>
          <w:rFonts w:ascii="Times New Roman" w:cs="Times New Roman" w:eastAsia="Times New Roman" w:hAnsi="Times New Roman"/>
          <w:b w:val="0"/>
          <w:sz w:val="20"/>
          <w:szCs w:val="20"/>
          <w:vertAlign w:val="superscript"/>
        </w:rPr>
        <w:footnoteReference w:customMarkFollows="0" w:id="8"/>
      </w:r>
      <w:r w:rsidDel="00000000" w:rsidR="00000000" w:rsidRPr="00000000">
        <w:rPr>
          <w:rFonts w:ascii="Times New Roman" w:cs="Times New Roman" w:eastAsia="Times New Roman" w:hAnsi="Times New Roman"/>
          <w:b w:val="0"/>
          <w:sz w:val="20"/>
          <w:szCs w:val="20"/>
          <w:rtl w:val="0"/>
        </w:rPr>
        <w:t xml:space="preserve"> Hij genas “Opdat in vervulling zou gaan wat gezegd is door Jesaja: ‘Hij was het die onze ziekten wegnam en onze kwalen op zich heeft genomen”, noteert Matteüs.</w:t>
      </w:r>
      <w:r w:rsidDel="00000000" w:rsidR="00000000" w:rsidRPr="00000000">
        <w:rPr>
          <w:rFonts w:ascii="Times New Roman" w:cs="Times New Roman" w:eastAsia="Times New Roman" w:hAnsi="Times New Roman"/>
          <w:b w:val="0"/>
          <w:sz w:val="20"/>
          <w:szCs w:val="20"/>
          <w:vertAlign w:val="superscript"/>
        </w:rPr>
        <w:footnoteReference w:customMarkFollows="0" w:id="9"/>
      </w:r>
      <w:r w:rsidDel="00000000" w:rsidR="00000000" w:rsidRPr="00000000">
        <w:rPr>
          <w:rFonts w:ascii="Times New Roman" w:cs="Times New Roman" w:eastAsia="Times New Roman" w:hAnsi="Times New Roman"/>
          <w:b w:val="0"/>
          <w:sz w:val="20"/>
          <w:szCs w:val="20"/>
          <w:rtl w:val="0"/>
        </w:rPr>
        <w:t xml:space="preserve"> Hij stuitte op ongeloof. “Zo gingen de woorden van Jesaja in vervulling, die zei: ‘Heer, wie heeft onze boodschap geloofd? Aan wie is de macht van de Heer geopenbaard?’”, schrijft Johannes.</w:t>
      </w:r>
      <w:r w:rsidDel="00000000" w:rsidR="00000000" w:rsidRPr="00000000">
        <w:rPr>
          <w:rFonts w:ascii="Times New Roman" w:cs="Times New Roman" w:eastAsia="Times New Roman" w:hAnsi="Times New Roman"/>
          <w:b w:val="0"/>
          <w:sz w:val="20"/>
          <w:szCs w:val="20"/>
          <w:vertAlign w:val="superscript"/>
        </w:rPr>
        <w:footnoteReference w:customMarkFollows="0" w:id="10"/>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Johannes ziet Jezus aankomen en roept: “Daar ís het lam van God, dat de zonde van de wereld wegneemt’.</w:t>
      </w:r>
      <w:r w:rsidDel="00000000" w:rsidR="00000000" w:rsidRPr="00000000">
        <w:rPr>
          <w:rFonts w:ascii="Times New Roman" w:cs="Times New Roman" w:eastAsia="Times New Roman" w:hAnsi="Times New Roman"/>
          <w:b w:val="0"/>
          <w:sz w:val="20"/>
          <w:szCs w:val="20"/>
          <w:vertAlign w:val="superscript"/>
        </w:rPr>
        <w:footnoteReference w:customMarkFollows="0" w:id="11"/>
      </w:r>
      <w:r w:rsidDel="00000000" w:rsidR="00000000" w:rsidRPr="00000000">
        <w:rPr>
          <w:rFonts w:ascii="Times New Roman" w:cs="Times New Roman" w:eastAsia="Times New Roman" w:hAnsi="Times New Roman"/>
          <w:b w:val="0"/>
          <w:sz w:val="20"/>
          <w:szCs w:val="20"/>
          <w:rtl w:val="0"/>
        </w:rPr>
        <w:t xml:space="preserve"> “Hij nam het voor zondaars op”, orakelt de profeet. “Jezus spreekt dit kruiswoord: ‘Vader, vergeef het hun, want ze weten niet wat ze doen.”</w:t>
      </w:r>
      <w:r w:rsidDel="00000000" w:rsidR="00000000" w:rsidRPr="00000000">
        <w:rPr>
          <w:rFonts w:ascii="Times New Roman" w:cs="Times New Roman" w:eastAsia="Times New Roman" w:hAnsi="Times New Roman"/>
          <w:b w:val="0"/>
          <w:sz w:val="20"/>
          <w:szCs w:val="20"/>
          <w:vertAlign w:val="superscript"/>
        </w:rPr>
        <w:footnoteReference w:customMarkFollows="0" w:id="12"/>
      </w:r>
      <w:r w:rsidDel="00000000" w:rsidR="00000000" w:rsidRPr="00000000">
        <w:rPr>
          <w:rFonts w:ascii="Times New Roman" w:cs="Times New Roman" w:eastAsia="Times New Roman" w:hAnsi="Times New Roman"/>
          <w:b w:val="0"/>
          <w:sz w:val="20"/>
          <w:szCs w:val="20"/>
          <w:rtl w:val="0"/>
        </w:rPr>
        <w:t xml:space="preserve"> “God heeft Hem die de zonde niet kende voor ons één gemaakt met de zonde, zodat wij door Hem rechtvaardig voor God kunnen worden”, reflecteert Paulus.</w:t>
      </w:r>
      <w:r w:rsidDel="00000000" w:rsidR="00000000" w:rsidRPr="00000000">
        <w:rPr>
          <w:rFonts w:ascii="Times New Roman" w:cs="Times New Roman" w:eastAsia="Times New Roman" w:hAnsi="Times New Roman"/>
          <w:b w:val="0"/>
          <w:sz w:val="20"/>
          <w:szCs w:val="20"/>
          <w:vertAlign w:val="superscript"/>
        </w:rPr>
        <w:footnoteReference w:customMarkFollows="0" w:id="13"/>
      </w:r>
      <w:r w:rsidDel="00000000" w:rsidR="00000000" w:rsidRPr="00000000">
        <w:rPr>
          <w:rFonts w:ascii="Times New Roman" w:cs="Times New Roman" w:eastAsia="Times New Roman" w:hAnsi="Times New Roman"/>
          <w:b w:val="0"/>
          <w:sz w:val="20"/>
          <w:szCs w:val="20"/>
          <w:rtl w:val="0"/>
        </w:rPr>
        <w:t xml:space="preserve"> Het oude volk van God heeft veel geleden. Maar niet in plaats van. Dat kon alleen Jezus, dé nakomeling van Abraham bij uitstek.</w:t>
      </w:r>
      <w:r w:rsidDel="00000000" w:rsidR="00000000" w:rsidRPr="00000000">
        <w:rPr>
          <w:rFonts w:ascii="Times New Roman" w:cs="Times New Roman" w:eastAsia="Times New Roman" w:hAnsi="Times New Roman"/>
          <w:b w:val="0"/>
          <w:sz w:val="20"/>
          <w:szCs w:val="20"/>
          <w:vertAlign w:val="superscript"/>
        </w:rPr>
        <w:footnoteReference w:customMarkFollows="0" w:id="14"/>
      </w:r>
      <w:r w:rsidDel="00000000" w:rsidR="00000000" w:rsidRPr="00000000">
        <w:rPr>
          <w:rFonts w:ascii="Times New Roman" w:cs="Times New Roman" w:eastAsia="Times New Roman" w:hAnsi="Times New Roman"/>
          <w:b w:val="0"/>
          <w:sz w:val="20"/>
          <w:szCs w:val="20"/>
          <w:rtl w:val="0"/>
        </w:rPr>
        <w:t xml:space="preserve"> ‘Een tere wortelscheut die opschoot onder Gods ogen’. </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i w:val="1"/>
          <w:sz w:val="20"/>
          <w:szCs w:val="20"/>
          <w:rtl w:val="0"/>
        </w:rPr>
        <w:t xml:space="preserve">Hij deed zijn mond niet open. En jij?</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0"/>
          <w:szCs w:val="20"/>
          <w:rtl w:val="0"/>
        </w:rPr>
        <w:t xml:space="preserve">Toen hij geschoren werd, zat Hij stil. “Hij deed zijn mond niet open”. Welbewust onderging Hij wat wij over ons heenhaalden. Open jij je mond? Niet om te protesteren, alsjeblieft. Zo van: ‘Ik heb niks gedaan’, ‘Ik heb nergens schuld aan.’ Wel om te duizendmaal te danken. Dank voor ‘ongemakkelijke teksten’ over Jezus. Als die niet genoeg zijn om in de gekruisigde Jezus te geloven, zou je Hem in levende lijve over ’t hoofd zien.</w:t>
      </w:r>
      <w:r w:rsidDel="00000000" w:rsidR="00000000" w:rsidRPr="00000000">
        <w:rPr>
          <w:rFonts w:ascii="Times New Roman" w:cs="Times New Roman" w:eastAsia="Times New Roman" w:hAnsi="Times New Roman"/>
          <w:b w:val="0"/>
          <w:sz w:val="20"/>
          <w:szCs w:val="20"/>
          <w:vertAlign w:val="superscript"/>
        </w:rPr>
        <w:footnoteReference w:customMarkFollows="0" w:id="15"/>
      </w:r>
      <w:r w:rsidDel="00000000" w:rsidR="00000000" w:rsidRPr="00000000">
        <w:rPr>
          <w:rFonts w:ascii="Times New Roman" w:cs="Times New Roman" w:eastAsia="Times New Roman" w:hAnsi="Times New Roman"/>
          <w:b w:val="0"/>
          <w:sz w:val="20"/>
          <w:szCs w:val="20"/>
          <w:rtl w:val="0"/>
        </w:rPr>
        <w:t xml:space="preserve"> Dank met zoveel woorden voor Woord en sacrament. Dat God je hier wil zien. Dat Jezus met je wil eten. Wat wil je nog meer?</w:t>
      </w:r>
      <w:r w:rsidDel="00000000" w:rsidR="00000000" w:rsidRPr="00000000">
        <w:rPr>
          <w:rtl w:val="0"/>
        </w:rPr>
      </w:r>
    </w:p>
    <w:p w:rsidR="00000000" w:rsidDel="00000000" w:rsidP="00000000" w:rsidRDefault="00000000" w:rsidRPr="00000000">
      <w:pPr>
        <w:spacing w:after="0" w:before="0" w:line="360" w:lineRule="auto"/>
        <w:contextualSpacing w:val="0"/>
        <w:jc w:val="right"/>
      </w:pPr>
      <w:r w:rsidDel="00000000" w:rsidR="00000000" w:rsidRPr="00000000">
        <w:rPr>
          <w:rFonts w:ascii="Times New Roman" w:cs="Times New Roman" w:eastAsia="Times New Roman" w:hAnsi="Times New Roman"/>
          <w:b w:val="0"/>
          <w:sz w:val="20"/>
          <w:szCs w:val="20"/>
          <w:rtl w:val="0"/>
        </w:rPr>
        <w:t xml:space="preserve">Amen </w:t>
      </w:r>
    </w:p>
    <w:sectPr>
      <w:headerReference r:id="rId6" w:type="default"/>
      <w:footerReference r:id="rId7"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mc:AlternateContent>
        <mc:Choice Requires="wpg">
          <w:drawing>
            <wp:inline distB="0" distT="0" distL="114300" distR="114300">
              <wp:extent cx="571500" cy="190500"/>
              <wp:effectExtent b="0" l="0" r="0" t="0"/>
              <wp:docPr id="1" name=""/>
              <a:graphic>
                <a:graphicData uri="http://schemas.microsoft.com/office/word/2010/wordprocessingShape">
                  <wps:wsp>
                    <wps:cNvSpPr/>
                    <wps:cNvPr id="1" name="Shape 1"/>
                    <wps:spPr>
                      <a:xfrm flipH="1" rot="10800000">
                        <a:off x="5063107" y="3684114"/>
                        <a:ext cx="565784" cy="1917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 MERGEFORMAT</w:t>
                          </w:r>
                          <w:r w:rsidDel="00000000" w:rsidR="00000000" w:rsidRPr="00000000">
                            <w:rPr>
                              <w:rFonts w:ascii="Times New Roman" w:cs="Times New Roman" w:eastAsia="Times New Roman" w:hAnsi="Times New Roman"/>
                              <w:b w:val="0"/>
                              <w:i w:val="0"/>
                              <w:smallCaps w:val="0"/>
                              <w:strike w:val="0"/>
                              <w:color w:val="c0504d"/>
                              <w:sz w:val="24"/>
                              <w:vertAlign w:val="baseline"/>
                            </w:rPr>
                            <w:t xml:space="preserve">2</w:t>
                          </w:r>
                        </w:p>
                      </w:txbxContent>
                    </wps:txbx>
                    <wps:bodyPr anchorCtr="0" anchor="t" bIns="0" lIns="91425" rIns="91425" tIns="0"/>
                  </wps:wsp>
                </a:graphicData>
              </a:graphic>
            </wp:inline>
          </w:drawing>
        </mc:Choice>
        <mc:Fallback>
          <w:drawing>
            <wp:inline distB="0" distT="0" distL="114300" distR="114300">
              <wp:extent cx="571500" cy="1905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71500" cy="190500"/>
                      </a:xfrm>
                      <a:prstGeom prst="rect"/>
                      <a:ln/>
                    </pic:spPr>
                  </pic:pic>
                </a:graphicData>
              </a:graphic>
            </wp:inline>
          </w:drawing>
        </mc:Fallback>
      </mc:AlternateConten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I Johannes 1,1vv.</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Johannes 1,14; 20,30.</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‘Matteüs 16,22.</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Liedboek 189.</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Genesis 3,8vv.</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Matteüs 3,13-17.</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Jesaja 1,1.</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Marcus 9,12.</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Lucas 22,37.</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Matteüs 8,17.</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Johannes 12,38; Romeinen 10,16.</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Johannes 1,29.</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Lucas 23,34.</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II Korintiërs 5,21.</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Galaten 3,16.</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4"/>
          <w:szCs w:val="14"/>
          <w:rtl w:val="0"/>
        </w:rPr>
        <w:t xml:space="preserve"> Lucas 16,31.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1.png"/></Relationships>
</file>