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1F5F9"/>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‘GOD IS GETROUW IN VLOEK EN ZEGEN’</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preek over Numeri 14,20</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t xml:space="preserve">Bijbellezing: </w:t>
      </w:r>
      <w:r w:rsidDel="00000000" w:rsidR="00000000" w:rsidRPr="00000000">
        <w:rPr>
          <w:highlight w:val="white"/>
          <w:rtl w:val="0"/>
        </w:rPr>
        <w:t xml:space="preserve">Numeri 13,1-3; 13,16b-14,3; 14,11-23; 26-35; 39-45</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Bedum, 29 september 2013</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Lemelerveld, 27 oktober 2013</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2"/>
          <w:szCs w:val="22"/>
          <w:rtl w:val="0"/>
        </w:rPr>
        <w:t xml:space="preserve">Ds. Marten de Vries</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Gemeente van onze Heer, Jezus Christus,</w:t>
      </w:r>
    </w:p>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0"/>
          <w:sz w:val="22"/>
          <w:szCs w:val="22"/>
          <w:rtl w:val="0"/>
        </w:rPr>
        <w:t xml:space="preserve">Broeders en zusters,</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Wij zijn niet bezig met iets maar Iemand met 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Afgelopen woensdag hadden we op een van de catechisatiegroepen een interessant gesprek. Het ging over het nut van geloofsleer. Typisch iets voor het begin van het seizoen. Waarvoor leer je eigenlijk dingen over de leer? En wat moet je met dingen die je toch niet begrijpt? Ik probeerde te  verduidelijken dat wíj niet bezig zijn met iéts maar Iémand met óns. We behandelen geen theorie maar spreken over de levende God. En ’t is maar goed is dat we geen grip op zijn wezen hebben. Wat zouden we aan God hebben wanneer Hij ons begrip niet eens te boven gaat?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Verhalen zijn niet voor de juf</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Net zoiets: wat heb je aan Bijbelse geschiedenissen? Zijn die voor kinderen voor wie de leer te moeilijk is? Ik dacht van niet. Verhalen zijn niet voor de juf. Of de pluscreche. De HEER wil dat jong en oud Hem leert kennen door wat vroeger gebeurd en vervolgens opgeschreven is. Hij wil graag dat we daarin Jezus Christus ontmoeten. De Heilige Geest die de Bijbelschrijvers de notities in de pen gaf wil geloof, ontzag, liefde en vertrouwen bij ons inboezemen. Ook door de historie van De Twaalf Verspieders. God laat zichzelf goed kennen. Om het te zeggen met een psalmregel:</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22"/>
          <w:szCs w:val="22"/>
          <w:highlight w:val="yellow"/>
          <w:rtl w:val="0"/>
        </w:rPr>
        <w:t xml:space="preserve">‘Hij is getrouw in vloek en zegen’.</w:t>
      </w:r>
      <w:r w:rsidDel="00000000" w:rsidR="00000000" w:rsidRPr="00000000">
        <w:rPr>
          <w:rFonts w:ascii="Calibri" w:cs="Calibri" w:eastAsia="Calibri" w:hAnsi="Calibri"/>
          <w:b w:val="1"/>
          <w:color w:val="000000"/>
          <w:sz w:val="22"/>
          <w:szCs w:val="22"/>
          <w:highlight w:val="yellow"/>
          <w:vertAlign w:val="superscript"/>
        </w:rPr>
        <w:footnoteReference w:customMarkFollows="0" w:id="0"/>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We zien minstens vier dingen van God: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2"/>
          <w:szCs w:val="22"/>
          <w:highlight w:val="yellow"/>
          <w:rtl w:val="0"/>
        </w:rPr>
        <w:t xml:space="preserve">1) God belooft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2"/>
          <w:szCs w:val="22"/>
          <w:highlight w:val="yellow"/>
          <w:rtl w:val="0"/>
        </w:rPr>
        <w:t xml:space="preserve">2) God is boos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2"/>
          <w:szCs w:val="22"/>
          <w:highlight w:val="yellow"/>
          <w:rtl w:val="0"/>
        </w:rPr>
        <w:t xml:space="preserve">3) God verzoent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2"/>
          <w:szCs w:val="22"/>
          <w:highlight w:val="yellow"/>
          <w:rtl w:val="0"/>
        </w:rPr>
        <w:t xml:space="preserve">4) God is trouw</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4f81bd"/>
          <w:sz w:val="30"/>
          <w:szCs w:val="30"/>
          <w:u w:val="single"/>
          <w:rtl w:val="0"/>
        </w:rPr>
        <w:t xml:space="preserve">God belooft</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Alles te danken aan de uitverkiezing</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‘Ik ben de HEER, uw God, die u uit Egypte, uit de slavernij, heeft bevrijd’. Zo had Gods stem geklonken bij de Horeb.</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Na een verblijf van 430 jaar</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als allochtonen deed de HEER Israël uitgeleide. Hij ging met hen op weg naar het aan Abraham beloofde land.</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Daar moest zijn eeuwige Zoon ter wereld komen. Nee, Hij had zijn oog niet op dit volk laten vallen omdat ze van zichzelf iets hadden wat anderen misten. Alles hádden zíj en hébben wíj te danken aan de onbegrijpelijke uitverkiezing van God.</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Angst of vertrouwen?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Na een lange reis – die nog véél langer worden zou – waren ze er bijna. Maar nog niet helemaal. Ze zeiden tegen Mozes: “We willen mannen vooruitsturen om het land te verkennen.”</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Fonts w:ascii="Calibri" w:cs="Calibri" w:eastAsia="Calibri" w:hAnsi="Calibri"/>
          <w:b w:val="0"/>
          <w:sz w:val="22"/>
          <w:szCs w:val="22"/>
          <w:rtl w:val="0"/>
        </w:rPr>
        <w:t xml:space="preserve"> De HEER kwam hun tegemoet. Van elke stam (Levi niet; twee van Jozef onder wie Hosea) stuurde Mozes een hoofdman op pad. Met een routebeschrijving op zak moesten ze letten op het land en zijn bewoners. ‘Vloeide’ het inderdaad ‘over van melk en honing’, zoals de HEER had gezegd bij de brandende doornbos?</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Fonts w:ascii="Calibri" w:cs="Calibri" w:eastAsia="Calibri" w:hAnsi="Calibri"/>
          <w:b w:val="0"/>
          <w:sz w:val="22"/>
          <w:szCs w:val="22"/>
          <w:rtl w:val="0"/>
        </w:rPr>
        <w:t xml:space="preserve"> En… zouden ze báng voor ménsen worden of op Jakobs Gód vertroúwen?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Een ‘J’ ervóór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Voor de mannen vertrokken veranderde Mozes de naam van verspieder Hosea. De ‘J’ van ‘Jahweh’ werd er aan de voorkant aangeplakt: ‘Hosea’, ‘J(h)ozua’. Niet ‘verlossing’, maar: ‘De HÉÉR verlost’. In die verandering school een belofte. ‘Niet eenzaam gingen ze op de vijand aan.’ God was hun ‘Immanuël’</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‘God mét hén’. Hij zou hen redden van de reuzen. ‘Jozua’ is Hebreeuws, de naam luidt op z’n Grieks ‘Jezus’.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Vertaald naar nu denk ik aan Jezus Christus. Hij baande jouw levenspad. Eenmaal kom je thuis. Beloofd is beloofd. Zowaar je bent gedoopt in de naam van Jezus.</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4f81bd"/>
          <w:sz w:val="30"/>
          <w:szCs w:val="30"/>
          <w:u w:val="single"/>
          <w:rtl w:val="0"/>
        </w:rPr>
        <w:t xml:space="preserve">God is boos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Eerst het goede, dan het slechte nieuws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Na anderhalf jaar wildernis komt de climax: Kánaän! In veertig dagen doorkruisen de spionnen het land van zuid tot noord. Van de Sinwoestijn (ten zuiden van de Dode Zee) tot aan Rechob, bij Lebo-Hamat. Mogelijk de stad Hamah waar vader Al-Assad in 1982 een bloedbad aanrichtte onder de Moslimbroeders. Teruggekeerd begínnen ze met het goéde nieuws. Ze tonen de vruchten van het land: ‘één tros druiven die ze met z’n tweeën aan een stok moesten dragen’. Maar dán het sléchte nieuws. Ze overdrijven schromelijk: er zijn sléchts bomen van kerels. De anticlimax: zij olifanten, wij muizen. Geen woord over God.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Van wanhoop tot opstand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Wanhoop alom. “Er is geen enkele reden om bang te zijn”, probeert Mozes ertegenin te brengen. “De HEER, uw God, zal immers voor u strijden.” Dat staat in Deuteronomium 1. Hij verwijst naar Egypte. God heeft hen de hele woestijntocht gedragen zoals een vader zijn kind.</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Mozes en Aäron gaan plat op hun gezicht. Jozua en Kaleb scheuren hun kleren. Ze zeggen: hoezo ‘het land verslindt zijn inwoners’, 13,32. ‘Wij vermorzelen hén met gemak’, 14,9. ‘Een hapje, een eitje’. Maar het zaad van ongeloof is ontkiemd. ‘Rebulie’. Jozua mag doodvallen. Het volk wil onder tégenleiding terug naar Egypte.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Gekrenkte liefde om kwaadwillige verlating</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Vlak voor de grens is de limiet bereikt. God is ontzettend kwaad. Hij zegt wat wij onze kinderen verbieden: ‘Ze kunnen van mij de pest krijgen’. Net als na het gouden kalf wil Hij met Mozes opnieuw beginnen.</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Begrijpt u het? God is geen concépt maar heeft gevoél. Ondervindt gekrenkte liefde. ‘Ontrouw’ staat er. Kwaadwillige verlating. Zou God zijn volk hebben uítgeleid om het erín te laten lopen?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gaf zijn enige Zoon om mensen te redden.</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Begrijpt u het? Wie zegt: ‘Geef mijn portie maar aan Fikkie’,</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maakt God verschrikkelijk boos.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4f81bd"/>
          <w:sz w:val="30"/>
          <w:szCs w:val="30"/>
          <w:u w:val="single"/>
          <w:rtl w:val="0"/>
        </w:rPr>
        <w:t xml:space="preserve">God verzoent</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De gever van de wet een man van gebed</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Zoals eerder komt de middelaar van het Oude Verbond</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tussenbeide. Hij is gever van de wét</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maar vooral man van gebéd. Hij beroept zich op wat ánderen kúnnen zeggen en op wat God zélf hééft gezegd. Op Gods reputatie. Dat wordt lachen aan de Nijl: Israëls God kon zijn woorden niet waar maken. Én op wat klonk nadat Mozes twee nieuwe wetstabletten had uitgehakt: “Een God die liefdevol is en genadig, geduldig, trouw en waarachtig.”</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Fonts w:ascii="Calibri" w:cs="Calibri" w:eastAsia="Calibri" w:hAnsi="Calibri"/>
          <w:b w:val="0"/>
          <w:sz w:val="22"/>
          <w:szCs w:val="22"/>
          <w:rtl w:val="0"/>
        </w:rPr>
        <w:t xml:space="preserve"> Dus, wanneer het je gaat om zijn éér mag je altijd pleiten op zijn troúw.</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Gods liefde wint het van zijn toorn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HEER antwoordde: ‘Ik zal vergeving schenken, zoals je vraagt.” Uiteraard wil Hijzelf zijn eigen naam hooghouden. En zeker, Hij houdt woord. O ja? En zijn vernietigende woorden van daarnet? Gelden die niet meer? Twee dingen. Wij moeten de HEER niet op zijn woorden vángen, we mogen ons op zijn Woord beroépen. Verder: Gods liéfde wint het van zijn tóórn voor wie Hem niet nárekenen maar zich Gods ‘gerechtigheid’ laten toérekenen.</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Er is maar één ‘verklaring’ (wat heet): Jezus Christus, de (be)middelaar die zijn schaduw in Mozes vooruitwerpt. “Hij was het die onze ziekten droeg.”</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Genade is niet goedkoop</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verzoent. Zijn genade is niet goedkoop. Een dodelijke ziekte treft de tien verleiders. De rest moet rechtsomkeert maken. Ze krijgen wat ze vroegen: ze zullen sterven in de woestenij. God is ‘getrouw in vloék en zegen’. Het is de les van Numeri 13 en 14 waarop de Bijbel nog dikwijls teruggrijpt.</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niet 1,2,3: zonde – bidden in Jezus’ naam – klaar zijn Henk en Ingrid. Gods víjanden mogen God niet bespotten, zijn vriénden evenmin. Gods genade kostte het bloed van Jezus.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color w:val="4f81bd"/>
          <w:sz w:val="30"/>
          <w:szCs w:val="30"/>
          <w:u w:val="single"/>
          <w:rtl w:val="0"/>
        </w:rPr>
        <w:t xml:space="preserve">God is trouw</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Is het doodnodig?</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Dit gaat over ons leven in het verbond van alledag. Bij het avondmaal horen we “dat het kostbare bloed van onze Heer Jezus Christus vergoten is om al onze zonden volkomen te verzoenen.”</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Fonts w:ascii="Calibri" w:cs="Calibri" w:eastAsia="Calibri" w:hAnsi="Calibri"/>
          <w:b w:val="0"/>
          <w:sz w:val="22"/>
          <w:szCs w:val="22"/>
          <w:rtl w:val="0"/>
        </w:rPr>
        <w:t xml:space="preserve"> Maar waar is het dan voor nodig dat gelovigen aan ongeneeslijke ziektes lijden? Waarom sterven we? Natan zei tegen David dat zijn zonde met Batseba was vergeven. Maar hij had Gods eer publiek aangetast en moest de gevolgen dragen: hun baby sterft.</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God vergaf Israël maar ze moesten niet proberen alsnog het land te veroveren; dat deden ze echt met slechte afloop.</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Dóór met een ‘doorn’</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gjdgxs" w:id="0"/>
      <w:bookmarkEnd w:id="0"/>
      <w:r w:rsidDel="00000000" w:rsidR="00000000" w:rsidRPr="00000000">
        <w:rPr>
          <w:rFonts w:ascii="Calibri" w:cs="Calibri" w:eastAsia="Calibri" w:hAnsi="Calibri"/>
          <w:b w:val="0"/>
          <w:sz w:val="22"/>
          <w:szCs w:val="22"/>
          <w:rtl w:val="0"/>
        </w:rPr>
        <w:t xml:space="preserve">God is getrouw. “Wanneer je van de boom van de kennis van goed en kwaad eet, zul je onherroepelijk sterven”</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Moordenaars bekeren zich maar zitten nog jaren. Intermenselijke verhoudingen blijven na schuldbelijdenis beschadigd. God liet de min 20-jarigen en ook het derde en vierde geslacht boeten voor de schuld van ouderen: veertig járen in het zánd voor veertig dágen in het lánd. Dorens en distels halen je handen open</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Er steekt ‘een doorn in je vlees.</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Fonts w:ascii="Calibri" w:cs="Calibri" w:eastAsia="Calibri" w:hAnsi="Calibri"/>
          <w:b w:val="0"/>
          <w:sz w:val="22"/>
          <w:szCs w:val="22"/>
          <w:rtl w:val="0"/>
        </w:rPr>
        <w:t xml:space="preserve"> Maar je mag dóór. De zegen heb je van God die vanuit de doornen sprak.</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Doodgaan geen straf meer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volk als zodanig mocht het land later binnen. Intussen is de kerk nog steeds in de ‘woestijn’.</w:t>
      </w:r>
      <w:r w:rsidDel="00000000" w:rsidR="00000000" w:rsidRPr="00000000">
        <w:rPr>
          <w:rFonts w:ascii="Calibri" w:cs="Calibri" w:eastAsia="Calibri" w:hAnsi="Calibri"/>
          <w:b w:val="0"/>
          <w:sz w:val="22"/>
          <w:szCs w:val="22"/>
          <w:vertAlign w:val="superscript"/>
        </w:rPr>
        <w:footnoteReference w:customMarkFollows="0" w:id="24"/>
      </w:r>
      <w:r w:rsidDel="00000000" w:rsidR="00000000" w:rsidRPr="00000000">
        <w:rPr>
          <w:rFonts w:ascii="Calibri" w:cs="Calibri" w:eastAsia="Calibri" w:hAnsi="Calibri"/>
          <w:b w:val="0"/>
          <w:sz w:val="22"/>
          <w:szCs w:val="22"/>
          <w:rtl w:val="0"/>
        </w:rPr>
        <w:t xml:space="preserve"> Soms is dat zo slecht nog niet. “Daarom zal ik haar meelokken naar de woestijn en dan tot haar hart spreken,” zei God veel later tegen het hoerig volk dat afgoden was gaan vereren.</w:t>
      </w:r>
      <w:r w:rsidDel="00000000" w:rsidR="00000000" w:rsidRPr="00000000">
        <w:rPr>
          <w:rFonts w:ascii="Calibri" w:cs="Calibri" w:eastAsia="Calibri" w:hAnsi="Calibri"/>
          <w:b w:val="0"/>
          <w:sz w:val="22"/>
          <w:szCs w:val="22"/>
          <w:vertAlign w:val="superscript"/>
        </w:rPr>
        <w:footnoteReference w:customMarkFollows="0" w:id="25"/>
      </w:r>
      <w:r w:rsidDel="00000000" w:rsidR="00000000" w:rsidRPr="00000000">
        <w:rPr>
          <w:rFonts w:ascii="Calibri" w:cs="Calibri" w:eastAsia="Calibri" w:hAnsi="Calibri"/>
          <w:b w:val="0"/>
          <w:sz w:val="22"/>
          <w:szCs w:val="22"/>
          <w:rtl w:val="0"/>
        </w:rPr>
        <w:t xml:space="preserve"> Verbannen was ze helemaal aangewezen op Hem en kon zij de liefde weer leren.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Paulus vond Gods genade voldoende.</w:t>
      </w:r>
      <w:r w:rsidDel="00000000" w:rsidR="00000000" w:rsidRPr="00000000">
        <w:rPr>
          <w:rFonts w:ascii="Calibri" w:cs="Calibri" w:eastAsia="Calibri" w:hAnsi="Calibri"/>
          <w:b w:val="0"/>
          <w:sz w:val="22"/>
          <w:szCs w:val="22"/>
          <w:vertAlign w:val="superscript"/>
        </w:rPr>
        <w:footnoteReference w:customMarkFollows="0" w:id="26"/>
      </w:r>
      <w:r w:rsidDel="00000000" w:rsidR="00000000" w:rsidRPr="00000000">
        <w:rPr>
          <w:rFonts w:ascii="Calibri" w:cs="Calibri" w:eastAsia="Calibri" w:hAnsi="Calibri"/>
          <w:b w:val="0"/>
          <w:sz w:val="22"/>
          <w:szCs w:val="22"/>
          <w:rtl w:val="0"/>
        </w:rPr>
        <w:t xml:space="preserve"> ‘In leven en sterven’.</w:t>
      </w:r>
      <w:r w:rsidDel="00000000" w:rsidR="00000000" w:rsidRPr="00000000">
        <w:rPr>
          <w:rFonts w:ascii="Calibri" w:cs="Calibri" w:eastAsia="Calibri" w:hAnsi="Calibri"/>
          <w:b w:val="0"/>
          <w:sz w:val="22"/>
          <w:szCs w:val="22"/>
          <w:vertAlign w:val="superscript"/>
        </w:rPr>
        <w:footnoteReference w:customMarkFollows="0" w:id="27"/>
      </w:r>
      <w:r w:rsidDel="00000000" w:rsidR="00000000" w:rsidRPr="00000000">
        <w:rPr>
          <w:rFonts w:ascii="Calibri" w:cs="Calibri" w:eastAsia="Calibri" w:hAnsi="Calibri"/>
          <w:b w:val="0"/>
          <w:sz w:val="22"/>
          <w:szCs w:val="22"/>
          <w:rtl w:val="0"/>
        </w:rPr>
        <w:t xml:space="preserve"> Doodgaan is geen straf meer. Maar een poort naar ‘eeuwig, zalig leven’.</w:t>
      </w:r>
      <w:r w:rsidDel="00000000" w:rsidR="00000000" w:rsidRPr="00000000">
        <w:rPr>
          <w:rFonts w:ascii="Calibri" w:cs="Calibri" w:eastAsia="Calibri" w:hAnsi="Calibri"/>
          <w:b w:val="0"/>
          <w:sz w:val="22"/>
          <w:szCs w:val="22"/>
          <w:vertAlign w:val="superscript"/>
        </w:rPr>
        <w:footnoteReference w:customMarkFollows="0" w:id="28"/>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2"/>
          <w:szCs w:val="22"/>
          <w:rtl w:val="0"/>
        </w:rPr>
        <w:t xml:space="preserve">Tenslotte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color w:val="000000"/>
          <w:sz w:val="22"/>
          <w:szCs w:val="22"/>
          <w:highlight w:val="yellow"/>
          <w:rtl w:val="0"/>
        </w:rPr>
        <w:t xml:space="preserve">Ontzettende verhalen waarin we Jezus ontmoeten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Er komen nog twee geschiedenissen uit Numeri. Het zijn ontzettende verhalen waar je stil van wordt. Voordat de veertig jaar ten einde zijn falen Mozes en Aäron. Zij mogen uiteindelijk ook niet mee naar binnen. Vlak voor de valreep liggen mensen te creperen van de slangenbeten. Geve de Heer door zijn Heilige Geest dat het vooral een ontmoeting met de Heer Jezus Christus zal zijn. Het zicht op Hem mocht niet belemmerd worden. We mogen opkijken naar de man die al onze tekorten op z’n nek nam en aan het kruishout bracht. Wie in Hem gelooft, heeft het eeuwige leven.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 </w:t>
      </w:r>
      <w:r w:rsidDel="00000000" w:rsidR="00000000" w:rsidRPr="00000000">
        <w:rPr>
          <w:rtl w:val="0"/>
        </w:rPr>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Cambria"/>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111:4 laatste regel.</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20,1.</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12,40; Galaten 3,17.</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17,8.</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Deuteronomium 7,6.</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Deuteronomium 1,22.</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3,17.</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46:4</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2,38.</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Deuteronomium 1,29vv.</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32,10.</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3,16.</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 Smits in 1959.</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Galaten 3,19; Hebreeën 8,5v; 9,15-22; 12,21-24.</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1,17.</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Exodus 34,6.</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23.60.</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53,4.</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Numeri 32,8-12; Deuteronomium 1.9; Jozua 14,8; Psalm 95,10; 106,24vv; Ezechiël 20,10-26; I Korintiërs 10,1-5; Hebreeën 3.4; Judas, 5.</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26,27v.</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Samuël 12,13v.</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2,17.</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3,18.</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Korintiërs 12,7.</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12,6.14.</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Hosea 2,16.</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II Korintiërs 12,9.</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1.1.</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16.41.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482600" cy="482600"/>
              <wp:effectExtent b="0" l="0" r="0" t="0"/>
              <wp:docPr id="1" name=""/>
              <a:graphic>
                <a:graphicData uri="http://schemas.microsoft.com/office/word/2010/wordprocessingShape">
                  <wps:wsp>
                    <wps:cNvSpPr/>
                    <wps:cNvPr id="1" name="Shape 1"/>
                    <wps:spPr>
                      <a:xfrm>
                        <a:off x="5107239" y="3541239"/>
                        <a:ext cx="477520" cy="477520"/>
                      </a:xfrm>
                      <a:prstGeom prst="ellipse">
                        <a:avLst/>
                      </a:prstGeom>
                      <a:solidFill>
                        <a:srgbClr val="9DBB61"/>
                      </a:solidFill>
                      <a:ln>
                        <a:noFill/>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libri" w:cs="Calibri" w:eastAsia="Calibri" w:hAnsi="Calibri"/>
                              <w:b w:val="1"/>
                              <w:i w:val="0"/>
                              <w:smallCaps w:val="0"/>
                              <w:strike w:val="0"/>
                              <w:color w:val="000000"/>
                              <w:sz w:val="24"/>
                              <w:vertAlign w:val="baseline"/>
                            </w:rPr>
                            <w:t xml:space="preserve">4</w:t>
                          </w:r>
                        </w:p>
                      </w:txbxContent>
                    </wps:txbx>
                    <wps:bodyPr anchorCtr="0" anchor="t" bIns="45700" lIns="0" rIns="0" tIns="45700"/>
                  </wps:wsp>
                </a:graphicData>
              </a:graphic>
            </wp:inline>
          </w:drawing>
        </mc:Choice>
        <mc:Fallback>
          <w:drawing>
            <wp:inline distB="0" distT="0" distL="114300" distR="114300">
              <wp:extent cx="482600" cy="4826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482600" cy="4826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0" w:before="200" w:line="276" w:lineRule="auto"/>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