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1F5F9"/>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‘GOD IS GETROUW IN VLOEK EN ZEGEN’</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preek over Numeri 14,20</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Bijbellezing: </w:t>
      </w:r>
      <w:r w:rsidDel="00000000" w:rsidR="00000000" w:rsidRPr="00000000">
        <w:rPr>
          <w:highlight w:val="white"/>
          <w:rtl w:val="0"/>
        </w:rPr>
        <w:t xml:space="preserve">Numeri 13,1-3; 13,16b-14,3; 14,11-23; 26-35; 39-45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Bedum, 29 september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Lemelerveld, 27 oktober 2013</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sz w:val="22"/>
          <w:szCs w:val="22"/>
          <w:rtl w:val="0"/>
        </w:rPr>
        <w:t xml:space="preserve">Ds. Marten de Vries</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Gemeente van onze Heer, Jezus Christus,</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rtl w:val="0"/>
        </w:rPr>
        <w:t xml:space="preserve">Broeders en zusters,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Wij zijn niet bezig met iets maar Iemand met 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Afgelopen woensdag hadden we op een van de catechisatiegroepen een interessant gesprek. Het ging over het nut van geloofsleer. Typisch iets voor het begin van het seizoen. Waarvoor leer je eigenlijk dingen over de leer? En wat moet je met dingen die je toch niet begrijpt? Ik probeerde te  verduidelijken dat wíj niet bezig zijn met iéts maar Iémand met óns. We behandelen geen theorie maar spreken over de levende God. En ’t is maar goed is dat we geen grip op zijn wezen hebben. Wat zouden we aan God hebben wanneer Hij ons begrip niet eens te boven gaat?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Verhalen zijn niet voor de juf</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Net zoiets: wat heb je aan Bijbelse geschiedenissen? Zijn die voor kinderen voor wie de leer te moeilijk is? Ik dacht van niet. Verhalen zijn niet voor de juf. Of de pluscreche. De HEER wil dat jong en oud Hem leert kennen door wat vroeger gebeurd en vervolgens opgeschreven is. Hij wil graag dat we daarin Jezus Christus ontmoeten. De Heilige Geest die de Bijbelschrijvers de notities in de pen gaf wil geloof, ontzag, liefde en vertrouwen bij ons inboezemen. Ook door de historie van De Twaalf Verspieders. God laat zichzelf goed kennen. Om het te zeggen met een psalmregel: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2"/>
          <w:szCs w:val="22"/>
          <w:highlight w:val="yellow"/>
          <w:rtl w:val="0"/>
        </w:rPr>
        <w:t xml:space="preserve">‘Hij is getrouw in vloek en zegen’.</w:t>
      </w:r>
      <w:r w:rsidDel="00000000" w:rsidR="00000000" w:rsidRPr="00000000">
        <w:rPr>
          <w:rFonts w:ascii="Calibri" w:cs="Calibri" w:eastAsia="Calibri" w:hAnsi="Calibri"/>
          <w:b w:val="1"/>
          <w:color w:val="000000"/>
          <w:sz w:val="22"/>
          <w:szCs w:val="22"/>
          <w:highlight w:val="yellow"/>
          <w:vertAlign w:val="superscript"/>
        </w:rPr>
        <w:footnoteReference w:customMarkFollows="0" w:id="0"/>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We zien minstens vier dingen van God: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highlight w:val="yellow"/>
          <w:rtl w:val="0"/>
        </w:rPr>
        <w:t xml:space="preserve">1) God belooft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highlight w:val="yellow"/>
          <w:rtl w:val="0"/>
        </w:rPr>
        <w:t xml:space="preserve">2) God is boos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highlight w:val="yellow"/>
          <w:rtl w:val="0"/>
        </w:rPr>
        <w:t xml:space="preserve">3) God verzoent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highlight w:val="yellow"/>
          <w:rtl w:val="0"/>
        </w:rPr>
        <w:t xml:space="preserve">4) God is trouw</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4f81bd"/>
          <w:sz w:val="30"/>
          <w:szCs w:val="30"/>
          <w:u w:val="single"/>
          <w:rtl w:val="0"/>
        </w:rPr>
        <w:t xml:space="preserve">God belooft</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Alles te danken aan de uitverkiezing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‘Ik ben de HEER, uw God, die u uit Egypte, uit de slavernij, heeft bevrijd’. Zo had Gods stem geklonken bij de Horeb.</w:t>
      </w:r>
      <w:r w:rsidDel="00000000" w:rsidR="00000000" w:rsidRPr="00000000">
        <w:rPr>
          <w:rFonts w:ascii="Calibri" w:cs="Calibri" w:eastAsia="Calibri" w:hAnsi="Calibri"/>
          <w:b w:val="0"/>
          <w:sz w:val="22"/>
          <w:szCs w:val="22"/>
          <w:vertAlign w:val="superscript"/>
        </w:rPr>
        <w:footnoteReference w:customMarkFollows="0" w:id="1"/>
      </w:r>
      <w:r w:rsidDel="00000000" w:rsidR="00000000" w:rsidRPr="00000000">
        <w:rPr>
          <w:rFonts w:ascii="Calibri" w:cs="Calibri" w:eastAsia="Calibri" w:hAnsi="Calibri"/>
          <w:b w:val="0"/>
          <w:sz w:val="22"/>
          <w:szCs w:val="22"/>
          <w:rtl w:val="0"/>
        </w:rPr>
        <w:t xml:space="preserve"> Na een verblijf van 430 jaar</w:t>
      </w:r>
      <w:r w:rsidDel="00000000" w:rsidR="00000000" w:rsidRPr="00000000">
        <w:rPr>
          <w:rFonts w:ascii="Calibri" w:cs="Calibri" w:eastAsia="Calibri" w:hAnsi="Calibri"/>
          <w:b w:val="0"/>
          <w:sz w:val="22"/>
          <w:szCs w:val="22"/>
          <w:vertAlign w:val="superscript"/>
        </w:rPr>
        <w:footnoteReference w:customMarkFollows="0" w:id="2"/>
      </w:r>
      <w:r w:rsidDel="00000000" w:rsidR="00000000" w:rsidRPr="00000000">
        <w:rPr>
          <w:rFonts w:ascii="Calibri" w:cs="Calibri" w:eastAsia="Calibri" w:hAnsi="Calibri"/>
          <w:b w:val="0"/>
          <w:sz w:val="22"/>
          <w:szCs w:val="22"/>
          <w:rtl w:val="0"/>
        </w:rPr>
        <w:t xml:space="preserve"> als allochtonen deed de HEER Israël uitgeleide. Hij ging met hen op weg naar het aan Abraham beloofde land.</w:t>
      </w:r>
      <w:r w:rsidDel="00000000" w:rsidR="00000000" w:rsidRPr="00000000">
        <w:rPr>
          <w:rFonts w:ascii="Calibri" w:cs="Calibri" w:eastAsia="Calibri" w:hAnsi="Calibri"/>
          <w:b w:val="0"/>
          <w:sz w:val="22"/>
          <w:szCs w:val="22"/>
          <w:vertAlign w:val="superscript"/>
        </w:rPr>
        <w:footnoteReference w:customMarkFollows="0" w:id="3"/>
      </w:r>
      <w:r w:rsidDel="00000000" w:rsidR="00000000" w:rsidRPr="00000000">
        <w:rPr>
          <w:rFonts w:ascii="Calibri" w:cs="Calibri" w:eastAsia="Calibri" w:hAnsi="Calibri"/>
          <w:b w:val="0"/>
          <w:sz w:val="22"/>
          <w:szCs w:val="22"/>
          <w:rtl w:val="0"/>
        </w:rPr>
        <w:t xml:space="preserve"> Daar moest zijn eeuwige Zoon ter wereld komen. Nee, Hij had zijn oog niet op dit volk laten vallen omdat ze van zichzelf iets hadden wat anderen misten. Alles hádden zíj en hébben wíj te danken aan de onbegrijpelijke uitverkiezing van God.</w:t>
      </w:r>
      <w:r w:rsidDel="00000000" w:rsidR="00000000" w:rsidRPr="00000000">
        <w:rPr>
          <w:rFonts w:ascii="Calibri" w:cs="Calibri" w:eastAsia="Calibri" w:hAnsi="Calibri"/>
          <w:b w:val="0"/>
          <w:sz w:val="22"/>
          <w:szCs w:val="22"/>
          <w:vertAlign w:val="superscript"/>
        </w:rPr>
        <w:footnoteReference w:customMarkFollows="0" w:id="4"/>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Angst of vertrouwen?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Na een lange reis – die nog véél langer worden zou – waren ze er bijna. Maar nog niet helemaal. Ze zeiden tegen Mozes: “We willen mannen vooruitsturen om het land te verkennen.”</w:t>
      </w:r>
      <w:r w:rsidDel="00000000" w:rsidR="00000000" w:rsidRPr="00000000">
        <w:rPr>
          <w:rFonts w:ascii="Calibri" w:cs="Calibri" w:eastAsia="Calibri" w:hAnsi="Calibri"/>
          <w:b w:val="0"/>
          <w:sz w:val="22"/>
          <w:szCs w:val="22"/>
          <w:vertAlign w:val="superscript"/>
        </w:rPr>
        <w:footnoteReference w:customMarkFollows="0" w:id="5"/>
      </w:r>
      <w:r w:rsidDel="00000000" w:rsidR="00000000" w:rsidRPr="00000000">
        <w:rPr>
          <w:rFonts w:ascii="Calibri" w:cs="Calibri" w:eastAsia="Calibri" w:hAnsi="Calibri"/>
          <w:b w:val="0"/>
          <w:sz w:val="22"/>
          <w:szCs w:val="22"/>
          <w:rtl w:val="0"/>
        </w:rPr>
        <w:t xml:space="preserve"> De HEER kwam hun tegemoet. Van elke stam (Levi niet; twee van Jozef onder wie Hosea) stuurde Mozes een hoofdman op pad. Met een routebeschrijving op zak moesten ze letten op het land en zijn bewoners. ‘Vloeide’ het inderdaad ‘over van melk en honing’, zoals de HEER had gezegd bij de brandende doornbos?</w:t>
      </w:r>
      <w:r w:rsidDel="00000000" w:rsidR="00000000" w:rsidRPr="00000000">
        <w:rPr>
          <w:rFonts w:ascii="Calibri" w:cs="Calibri" w:eastAsia="Calibri" w:hAnsi="Calibri"/>
          <w:b w:val="0"/>
          <w:sz w:val="22"/>
          <w:szCs w:val="22"/>
          <w:vertAlign w:val="superscript"/>
        </w:rPr>
        <w:footnoteReference w:customMarkFollows="0" w:id="6"/>
      </w:r>
      <w:r w:rsidDel="00000000" w:rsidR="00000000" w:rsidRPr="00000000">
        <w:rPr>
          <w:rFonts w:ascii="Calibri" w:cs="Calibri" w:eastAsia="Calibri" w:hAnsi="Calibri"/>
          <w:b w:val="0"/>
          <w:sz w:val="22"/>
          <w:szCs w:val="22"/>
          <w:rtl w:val="0"/>
        </w:rPr>
        <w:t xml:space="preserve"> En… zouden ze báng voor ménsen worden of op Jakobs Gód vertroúwen?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Een ‘J’ ervóór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Voor de mannen vertrokken veranderde Mozes de naam van verspieder Hosea. De ‘J’ van ‘Jahweh’ werd er aan de voorkant aangeplakt: ‘Hosea’, ‘J(h)ozua’. Niet ‘verlossing’, maar: ‘De HÉÉR verlost’. In die verandering school een belofte. ‘Niet eenzaam gingen ze op de vijand aan.’ God was hun ‘Immanuël’</w:t>
      </w:r>
      <w:r w:rsidDel="00000000" w:rsidR="00000000" w:rsidRPr="00000000">
        <w:rPr>
          <w:rFonts w:ascii="Calibri" w:cs="Calibri" w:eastAsia="Calibri" w:hAnsi="Calibri"/>
          <w:b w:val="0"/>
          <w:sz w:val="22"/>
          <w:szCs w:val="22"/>
          <w:vertAlign w:val="superscript"/>
        </w:rPr>
        <w:footnoteReference w:customMarkFollows="0" w:id="7"/>
      </w:r>
      <w:r w:rsidDel="00000000" w:rsidR="00000000" w:rsidRPr="00000000">
        <w:rPr>
          <w:rFonts w:ascii="Calibri" w:cs="Calibri" w:eastAsia="Calibri" w:hAnsi="Calibri"/>
          <w:b w:val="0"/>
          <w:sz w:val="22"/>
          <w:szCs w:val="22"/>
          <w:rtl w:val="0"/>
        </w:rPr>
        <w:t xml:space="preserve">: ‘God mét hén’. Hij zou hen redden van de reuzen. ‘Jozua’ is Hebreeuws, de naam luidt op z’n Grieks ‘Jezus’.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Vertaald naar nu denk ik aan Jezus Christus. Hij baande jouw levenspad. Eenmaal kom je thuis. Beloofd is beloofd. Zowaar je bent gedoopt in de naam van Jezus.</w:t>
      </w:r>
      <w:r w:rsidDel="00000000" w:rsidR="00000000" w:rsidRPr="00000000">
        <w:rPr>
          <w:rFonts w:ascii="Calibri" w:cs="Calibri" w:eastAsia="Calibri" w:hAnsi="Calibri"/>
          <w:b w:val="0"/>
          <w:sz w:val="22"/>
          <w:szCs w:val="22"/>
          <w:vertAlign w:val="superscript"/>
        </w:rPr>
        <w:footnoteReference w:customMarkFollows="0" w:id="8"/>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4f81bd"/>
          <w:sz w:val="30"/>
          <w:szCs w:val="30"/>
          <w:u w:val="single"/>
          <w:rtl w:val="0"/>
        </w:rPr>
        <w:t xml:space="preserve">God is boos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Eerst het goede, dan het slechte nieuws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Na anderhalf jaar wildernis komt de climax: Kánaän! In veertig dagen doorkruisen de spionnen het land van zuid tot noord. Van de Sinwoestijn (ten zuiden van de Dode Zee) tot aan Rechob, bij Lebo-Hamat. Mogelijk de stad Hamah waar vader Al-Assad in 1982 een bloedbad aanrichtte onder de Moslimbroeders. Teruggekeerd begínnen ze met het goéde nieuws. Ze tonen de vruchten van het land: ‘één tros druiven die ze met z’n tweeën aan een stok moesten dragen’. Maar dán het sléchte nieuws. Ze overdrijven schromelijk: er zijn sléchts bomen van kerels. De anticlimax: zij olifanten, wij muizen. Geen woord over God.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Van wanhoop tot opstand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Wanhoop alom. “Er is geen enkele reden om bang te zijn”, probeert Mozes ertegenin te brengen. “De HEER, uw God, zal immers voor u strijden.” Dat staat in Deuteronomium 1. Hij verwijst naar Egypte. God heeft hen de hele woestijntocht gedragen zoals een vader zijn kind.</w:t>
      </w:r>
      <w:r w:rsidDel="00000000" w:rsidR="00000000" w:rsidRPr="00000000">
        <w:rPr>
          <w:rFonts w:ascii="Calibri" w:cs="Calibri" w:eastAsia="Calibri" w:hAnsi="Calibri"/>
          <w:b w:val="0"/>
          <w:sz w:val="22"/>
          <w:szCs w:val="22"/>
          <w:vertAlign w:val="superscript"/>
        </w:rPr>
        <w:footnoteReference w:customMarkFollows="0" w:id="9"/>
      </w:r>
      <w:r w:rsidDel="00000000" w:rsidR="00000000" w:rsidRPr="00000000">
        <w:rPr>
          <w:rFonts w:ascii="Calibri" w:cs="Calibri" w:eastAsia="Calibri" w:hAnsi="Calibri"/>
          <w:b w:val="0"/>
          <w:sz w:val="22"/>
          <w:szCs w:val="22"/>
          <w:rtl w:val="0"/>
        </w:rPr>
        <w:t xml:space="preserve"> Mozes en Aäron gaan plat op hun gezicht. Jozua en Kaleb scheuren hun kleren. Ze zeggen: hoezo ‘het land verslindt zijn inwoners’, 13,32. ‘Wij vermorzelen hén met gemak’, 14,9. ‘Een hapje, een eitje’. Maar het zaad van ongeloof is ontkiemd. ‘Rebulie’. Jozua mag doodvallen. Het volk wil onder tégenleiding terug naar Egypte.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Gekrenkte liefde om kwaadwillige verlating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Vlak voor de grens is de limiet bereikt. God is ontzettend kwaad. Hij zegt wat wij onze kinderen verbieden: ‘Ze kunnen van mij de pest krijgen’. Net als na het gouden kalf wil Hij met Mozes opnieuw beginnen.</w:t>
      </w:r>
      <w:r w:rsidDel="00000000" w:rsidR="00000000" w:rsidRPr="00000000">
        <w:rPr>
          <w:rFonts w:ascii="Calibri" w:cs="Calibri" w:eastAsia="Calibri" w:hAnsi="Calibri"/>
          <w:b w:val="0"/>
          <w:sz w:val="22"/>
          <w:szCs w:val="22"/>
          <w:vertAlign w:val="superscript"/>
        </w:rPr>
        <w:footnoteReference w:customMarkFollows="0" w:id="10"/>
      </w:r>
      <w:r w:rsidDel="00000000" w:rsidR="00000000" w:rsidRPr="00000000">
        <w:rPr>
          <w:rFonts w:ascii="Calibri" w:cs="Calibri" w:eastAsia="Calibri" w:hAnsi="Calibri"/>
          <w:b w:val="0"/>
          <w:sz w:val="22"/>
          <w:szCs w:val="22"/>
          <w:rtl w:val="0"/>
        </w:rPr>
        <w:t xml:space="preserve"> Begrijpt u het? God is geen concépt maar heeft gevoél. Ondervindt gekrenkte liefde. ‘Ontrouw’ staat er. Kwaadwillige verlating. Zou God zijn volk hebben uítgeleid om het erín te laten lopen?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God gaf zijn enige Zoon om mensen te redden.</w:t>
      </w:r>
      <w:r w:rsidDel="00000000" w:rsidR="00000000" w:rsidRPr="00000000">
        <w:rPr>
          <w:rFonts w:ascii="Calibri" w:cs="Calibri" w:eastAsia="Calibri" w:hAnsi="Calibri"/>
          <w:b w:val="0"/>
          <w:sz w:val="22"/>
          <w:szCs w:val="22"/>
          <w:vertAlign w:val="superscript"/>
        </w:rPr>
        <w:footnoteReference w:customMarkFollows="0" w:id="11"/>
      </w:r>
      <w:r w:rsidDel="00000000" w:rsidR="00000000" w:rsidRPr="00000000">
        <w:rPr>
          <w:rFonts w:ascii="Calibri" w:cs="Calibri" w:eastAsia="Calibri" w:hAnsi="Calibri"/>
          <w:b w:val="0"/>
          <w:sz w:val="22"/>
          <w:szCs w:val="22"/>
          <w:rtl w:val="0"/>
        </w:rPr>
        <w:t xml:space="preserve"> Begrijpt u het? Wie zegt: ‘Geef mijn portie maar aan Fikkie’,</w:t>
      </w:r>
      <w:r w:rsidDel="00000000" w:rsidR="00000000" w:rsidRPr="00000000">
        <w:rPr>
          <w:rFonts w:ascii="Calibri" w:cs="Calibri" w:eastAsia="Calibri" w:hAnsi="Calibri"/>
          <w:b w:val="0"/>
          <w:sz w:val="22"/>
          <w:szCs w:val="22"/>
          <w:vertAlign w:val="superscript"/>
        </w:rPr>
        <w:footnoteReference w:customMarkFollows="0" w:id="12"/>
      </w:r>
      <w:r w:rsidDel="00000000" w:rsidR="00000000" w:rsidRPr="00000000">
        <w:rPr>
          <w:rFonts w:ascii="Calibri" w:cs="Calibri" w:eastAsia="Calibri" w:hAnsi="Calibri"/>
          <w:b w:val="0"/>
          <w:sz w:val="22"/>
          <w:szCs w:val="22"/>
          <w:rtl w:val="0"/>
        </w:rPr>
        <w:t xml:space="preserve"> maakt God verschrikkelijk boos.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4f81bd"/>
          <w:sz w:val="30"/>
          <w:szCs w:val="30"/>
          <w:u w:val="single"/>
          <w:rtl w:val="0"/>
        </w:rPr>
        <w:t xml:space="preserve">God verzoent</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De gever van de wet een man van gebed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Zoals eerder komt de middelaar van het Oude Verbond</w:t>
      </w:r>
      <w:r w:rsidDel="00000000" w:rsidR="00000000" w:rsidRPr="00000000">
        <w:rPr>
          <w:rFonts w:ascii="Calibri" w:cs="Calibri" w:eastAsia="Calibri" w:hAnsi="Calibri"/>
          <w:b w:val="0"/>
          <w:sz w:val="22"/>
          <w:szCs w:val="22"/>
          <w:vertAlign w:val="superscript"/>
        </w:rPr>
        <w:footnoteReference w:customMarkFollows="0" w:id="13"/>
      </w:r>
      <w:r w:rsidDel="00000000" w:rsidR="00000000" w:rsidRPr="00000000">
        <w:rPr>
          <w:rFonts w:ascii="Calibri" w:cs="Calibri" w:eastAsia="Calibri" w:hAnsi="Calibri"/>
          <w:b w:val="0"/>
          <w:sz w:val="22"/>
          <w:szCs w:val="22"/>
          <w:rtl w:val="0"/>
        </w:rPr>
        <w:t xml:space="preserve"> tussenbeide. Hij is gever van de wét</w:t>
      </w:r>
      <w:r w:rsidDel="00000000" w:rsidR="00000000" w:rsidRPr="00000000">
        <w:rPr>
          <w:rFonts w:ascii="Calibri" w:cs="Calibri" w:eastAsia="Calibri" w:hAnsi="Calibri"/>
          <w:b w:val="0"/>
          <w:sz w:val="22"/>
          <w:szCs w:val="22"/>
          <w:vertAlign w:val="superscript"/>
        </w:rPr>
        <w:footnoteReference w:customMarkFollows="0" w:id="14"/>
      </w:r>
      <w:r w:rsidDel="00000000" w:rsidR="00000000" w:rsidRPr="00000000">
        <w:rPr>
          <w:rFonts w:ascii="Calibri" w:cs="Calibri" w:eastAsia="Calibri" w:hAnsi="Calibri"/>
          <w:b w:val="0"/>
          <w:sz w:val="22"/>
          <w:szCs w:val="22"/>
          <w:rtl w:val="0"/>
        </w:rPr>
        <w:t xml:space="preserve"> maar vooral man van gebéd. Hij beroept zich op wat ánderen kúnnen zeggen en op wat God zélf hééft gezegd. Op Gods reputatie. Dat wordt lachen aan de Nijl: Israëls God kon zijn woorden niet waar maken. Én op wat klonk nadat Mozes twee nieuwe wetstabletten had uitgehakt: “Een God die liefdevol is en genadig, geduldig, trouw en waarachtig.”</w:t>
      </w:r>
      <w:r w:rsidDel="00000000" w:rsidR="00000000" w:rsidRPr="00000000">
        <w:rPr>
          <w:rFonts w:ascii="Calibri" w:cs="Calibri" w:eastAsia="Calibri" w:hAnsi="Calibri"/>
          <w:b w:val="0"/>
          <w:sz w:val="22"/>
          <w:szCs w:val="22"/>
          <w:vertAlign w:val="superscript"/>
        </w:rPr>
        <w:footnoteReference w:customMarkFollows="0" w:id="15"/>
      </w:r>
      <w:r w:rsidDel="00000000" w:rsidR="00000000" w:rsidRPr="00000000">
        <w:rPr>
          <w:rFonts w:ascii="Calibri" w:cs="Calibri" w:eastAsia="Calibri" w:hAnsi="Calibri"/>
          <w:b w:val="0"/>
          <w:sz w:val="22"/>
          <w:szCs w:val="22"/>
          <w:rtl w:val="0"/>
        </w:rPr>
        <w:t xml:space="preserve"> Dus, wanneer het je gaat om zijn éér mag je altijd pleiten op zijn troúw.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Gods liefde wint het van zijn toorn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HEER antwoordde: ‘Ik zal vergeving schenken, zoals je vraagt.” Uiteraard wil Hijzelf zijn eigen naam hooghouden. En zeker, Hij houdt woord. O ja? En zijn vernietigende woorden van daarnet? Gelden die niet meer? Twee dingen. Wij moeten de HEER niet op zijn woorden vángen, we mogen ons op zijn Woord beroépen. Verder: Gods liéfde wint het van zijn tóórn voor wie Hem niet nárekenen maar zich Gods ‘gerechtigheid’ laten toérekenen.</w:t>
      </w:r>
      <w:r w:rsidDel="00000000" w:rsidR="00000000" w:rsidRPr="00000000">
        <w:rPr>
          <w:rFonts w:ascii="Calibri" w:cs="Calibri" w:eastAsia="Calibri" w:hAnsi="Calibri"/>
          <w:b w:val="0"/>
          <w:sz w:val="22"/>
          <w:szCs w:val="22"/>
          <w:vertAlign w:val="superscript"/>
        </w:rPr>
        <w:footnoteReference w:customMarkFollows="0" w:id="16"/>
      </w:r>
      <w:r w:rsidDel="00000000" w:rsidR="00000000" w:rsidRPr="00000000">
        <w:rPr>
          <w:rFonts w:ascii="Calibri" w:cs="Calibri" w:eastAsia="Calibri" w:hAnsi="Calibri"/>
          <w:b w:val="0"/>
          <w:sz w:val="22"/>
          <w:szCs w:val="22"/>
          <w:rtl w:val="0"/>
        </w:rPr>
        <w:t xml:space="preserve"> Er is maar één ‘verklaring’ (wat heet): Jezus Christus, de (be)middelaar die zijn schaduw in Mozes vooruitwerpt. “Hij was het die onze ziekten droeg.”</w:t>
      </w:r>
      <w:r w:rsidDel="00000000" w:rsidR="00000000" w:rsidRPr="00000000">
        <w:rPr>
          <w:rFonts w:ascii="Calibri" w:cs="Calibri" w:eastAsia="Calibri" w:hAnsi="Calibri"/>
          <w:b w:val="0"/>
          <w:sz w:val="22"/>
          <w:szCs w:val="22"/>
          <w:vertAlign w:val="superscript"/>
        </w:rPr>
        <w:footnoteReference w:customMarkFollows="0" w:id="17"/>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Genade is niet goedkoop</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God verzoent. Zijn genade is niet goedkoop. Een dodelijke ziekte treft de tien verleiders. De rest moet rechtsomkeert maken. Ze krijgen wat ze vroegen: ze zullen sterven in de woestenij. God is ‘getrouw in vloék en zegen’. Het is de les van Numeri 13 en 14 waarop de Bijbel nog dikwijls teruggrijpt.</w:t>
      </w:r>
      <w:r w:rsidDel="00000000" w:rsidR="00000000" w:rsidRPr="00000000">
        <w:rPr>
          <w:rFonts w:ascii="Calibri" w:cs="Calibri" w:eastAsia="Calibri" w:hAnsi="Calibri"/>
          <w:b w:val="0"/>
          <w:sz w:val="22"/>
          <w:szCs w:val="22"/>
          <w:vertAlign w:val="superscript"/>
        </w:rPr>
        <w:footnoteReference w:customMarkFollows="0" w:id="18"/>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is niet 1,2,3: zonde – bidden in Jezus’ naam – klaar zijn Henk en Ingrid. Gods víjanden mogen God niet bespotten, zijn vriénden evenmin. Gods genade kostte het bloed van Jezus.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color w:val="4f81bd"/>
          <w:sz w:val="30"/>
          <w:szCs w:val="30"/>
          <w:u w:val="single"/>
          <w:rtl w:val="0"/>
        </w:rPr>
        <w:t xml:space="preserve">God is trouw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Is het doodnodig?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Dit gaat over ons leven in het verbond van alledag. Bij het avondmaal horen we “dat het kostbare bloed van onze Heer Jezus Christus vergoten is om al onze zonden volkomen te verzoenen.”</w:t>
      </w:r>
      <w:r w:rsidDel="00000000" w:rsidR="00000000" w:rsidRPr="00000000">
        <w:rPr>
          <w:rFonts w:ascii="Calibri" w:cs="Calibri" w:eastAsia="Calibri" w:hAnsi="Calibri"/>
          <w:b w:val="0"/>
          <w:sz w:val="22"/>
          <w:szCs w:val="22"/>
          <w:vertAlign w:val="superscript"/>
        </w:rPr>
        <w:footnoteReference w:customMarkFollows="0" w:id="19"/>
      </w:r>
      <w:r w:rsidDel="00000000" w:rsidR="00000000" w:rsidRPr="00000000">
        <w:rPr>
          <w:rFonts w:ascii="Calibri" w:cs="Calibri" w:eastAsia="Calibri" w:hAnsi="Calibri"/>
          <w:b w:val="0"/>
          <w:sz w:val="22"/>
          <w:szCs w:val="22"/>
          <w:rtl w:val="0"/>
        </w:rPr>
        <w:t xml:space="preserve"> Maar waar is het dan voor nodig dat gelovigen aan ongeneeslijke ziektes lijden? Waarom sterven we? Natan zei tegen David dat zijn zonde met Batseba was vergeven. Maar hij had Gods eer publiek aangetast en moest de gevolgen dragen: hun baby sterft.</w:t>
      </w:r>
      <w:r w:rsidDel="00000000" w:rsidR="00000000" w:rsidRPr="00000000">
        <w:rPr>
          <w:rFonts w:ascii="Calibri" w:cs="Calibri" w:eastAsia="Calibri" w:hAnsi="Calibri"/>
          <w:b w:val="0"/>
          <w:sz w:val="22"/>
          <w:szCs w:val="22"/>
          <w:vertAlign w:val="superscript"/>
        </w:rPr>
        <w:footnoteReference w:customMarkFollows="0" w:id="20"/>
      </w:r>
      <w:r w:rsidDel="00000000" w:rsidR="00000000" w:rsidRPr="00000000">
        <w:rPr>
          <w:rFonts w:ascii="Calibri" w:cs="Calibri" w:eastAsia="Calibri" w:hAnsi="Calibri"/>
          <w:b w:val="0"/>
          <w:sz w:val="22"/>
          <w:szCs w:val="22"/>
          <w:rtl w:val="0"/>
        </w:rPr>
        <w:t xml:space="preserve"> God vergaf Israël maar ze moesten niet proberen alsnog het land te veroveren; dat deden ze echt met slechte afloop.</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Dóór met een ‘doorn’</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Fonts w:ascii="Calibri" w:cs="Calibri" w:eastAsia="Calibri" w:hAnsi="Calibri"/>
          <w:b w:val="0"/>
          <w:sz w:val="22"/>
          <w:szCs w:val="22"/>
          <w:rtl w:val="0"/>
        </w:rPr>
        <w:t xml:space="preserve">God is getrouw. “Wanneer je van de boom van de kennis van goed en kwaad eet, zul je onherroepelijk sterven”</w:t>
      </w:r>
      <w:r w:rsidDel="00000000" w:rsidR="00000000" w:rsidRPr="00000000">
        <w:rPr>
          <w:rFonts w:ascii="Calibri" w:cs="Calibri" w:eastAsia="Calibri" w:hAnsi="Calibri"/>
          <w:b w:val="0"/>
          <w:sz w:val="22"/>
          <w:szCs w:val="22"/>
          <w:vertAlign w:val="superscript"/>
        </w:rPr>
        <w:footnoteReference w:customMarkFollows="0" w:id="21"/>
      </w:r>
      <w:r w:rsidDel="00000000" w:rsidR="00000000" w:rsidRPr="00000000">
        <w:rPr>
          <w:rFonts w:ascii="Calibri" w:cs="Calibri" w:eastAsia="Calibri" w:hAnsi="Calibri"/>
          <w:b w:val="0"/>
          <w:sz w:val="22"/>
          <w:szCs w:val="22"/>
          <w:rtl w:val="0"/>
        </w:rPr>
        <w:t xml:space="preserve">. Moordenaars bekeren zich maar zitten nog jaren. Intermenselijke verhoudingen blijven na schuldbelijdenis beschadigd. God liet de min 20-jarigen en ook het derde en vierde geslacht boeten voor de schuld van ouderen: veertig járen in het zánd voor veertig dágen in het lánd. Dorens en distels halen je handen open</w:t>
      </w:r>
      <w:r w:rsidDel="00000000" w:rsidR="00000000" w:rsidRPr="00000000">
        <w:rPr>
          <w:rFonts w:ascii="Calibri" w:cs="Calibri" w:eastAsia="Calibri" w:hAnsi="Calibri"/>
          <w:b w:val="0"/>
          <w:sz w:val="22"/>
          <w:szCs w:val="22"/>
          <w:vertAlign w:val="superscript"/>
        </w:rPr>
        <w:footnoteReference w:customMarkFollows="0" w:id="22"/>
      </w:r>
      <w:r w:rsidDel="00000000" w:rsidR="00000000" w:rsidRPr="00000000">
        <w:rPr>
          <w:rFonts w:ascii="Calibri" w:cs="Calibri" w:eastAsia="Calibri" w:hAnsi="Calibri"/>
          <w:b w:val="0"/>
          <w:sz w:val="22"/>
          <w:szCs w:val="22"/>
          <w:rtl w:val="0"/>
        </w:rPr>
        <w:t xml:space="preserve">. Er steekt ‘een doorn in je vlees.</w:t>
      </w:r>
      <w:r w:rsidDel="00000000" w:rsidR="00000000" w:rsidRPr="00000000">
        <w:rPr>
          <w:rFonts w:ascii="Calibri" w:cs="Calibri" w:eastAsia="Calibri" w:hAnsi="Calibri"/>
          <w:b w:val="0"/>
          <w:sz w:val="22"/>
          <w:szCs w:val="22"/>
          <w:vertAlign w:val="superscript"/>
        </w:rPr>
        <w:footnoteReference w:customMarkFollows="0" w:id="23"/>
      </w:r>
      <w:r w:rsidDel="00000000" w:rsidR="00000000" w:rsidRPr="00000000">
        <w:rPr>
          <w:rFonts w:ascii="Calibri" w:cs="Calibri" w:eastAsia="Calibri" w:hAnsi="Calibri"/>
          <w:b w:val="0"/>
          <w:sz w:val="22"/>
          <w:szCs w:val="22"/>
          <w:rtl w:val="0"/>
        </w:rPr>
        <w:t xml:space="preserve"> Maar je mag dóór. De zegen heb je van God die vanuit de doornen sprak.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Doodgaan geen straf meer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volk als zodanig mocht het land later binnen. Intussen is de kerk nog steeds in de ‘woestijn’.</w:t>
      </w:r>
      <w:r w:rsidDel="00000000" w:rsidR="00000000" w:rsidRPr="00000000">
        <w:rPr>
          <w:rFonts w:ascii="Calibri" w:cs="Calibri" w:eastAsia="Calibri" w:hAnsi="Calibri"/>
          <w:b w:val="0"/>
          <w:sz w:val="22"/>
          <w:szCs w:val="22"/>
          <w:vertAlign w:val="superscript"/>
        </w:rPr>
        <w:footnoteReference w:customMarkFollows="0" w:id="24"/>
      </w:r>
      <w:r w:rsidDel="00000000" w:rsidR="00000000" w:rsidRPr="00000000">
        <w:rPr>
          <w:rFonts w:ascii="Calibri" w:cs="Calibri" w:eastAsia="Calibri" w:hAnsi="Calibri"/>
          <w:b w:val="0"/>
          <w:sz w:val="22"/>
          <w:szCs w:val="22"/>
          <w:rtl w:val="0"/>
        </w:rPr>
        <w:t xml:space="preserve"> Soms is dat zo slecht nog niet. “Daarom zal ik haar meelokken naar de woestijn en dan tot haar hart spreken,” zei God veel later tegen het hoerig volk dat afgoden was gaan vereren.</w:t>
      </w:r>
      <w:r w:rsidDel="00000000" w:rsidR="00000000" w:rsidRPr="00000000">
        <w:rPr>
          <w:rFonts w:ascii="Calibri" w:cs="Calibri" w:eastAsia="Calibri" w:hAnsi="Calibri"/>
          <w:b w:val="0"/>
          <w:sz w:val="22"/>
          <w:szCs w:val="22"/>
          <w:vertAlign w:val="superscript"/>
        </w:rPr>
        <w:footnoteReference w:customMarkFollows="0" w:id="25"/>
      </w:r>
      <w:r w:rsidDel="00000000" w:rsidR="00000000" w:rsidRPr="00000000">
        <w:rPr>
          <w:rFonts w:ascii="Calibri" w:cs="Calibri" w:eastAsia="Calibri" w:hAnsi="Calibri"/>
          <w:b w:val="0"/>
          <w:sz w:val="22"/>
          <w:szCs w:val="22"/>
          <w:rtl w:val="0"/>
        </w:rPr>
        <w:t xml:space="preserve"> Verbannen was ze helemaal aangewezen op Hem en kon zij de liefde weer leren.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Paulus vond Gods genade voldoende.</w:t>
      </w:r>
      <w:r w:rsidDel="00000000" w:rsidR="00000000" w:rsidRPr="00000000">
        <w:rPr>
          <w:rFonts w:ascii="Calibri" w:cs="Calibri" w:eastAsia="Calibri" w:hAnsi="Calibri"/>
          <w:b w:val="0"/>
          <w:sz w:val="22"/>
          <w:szCs w:val="22"/>
          <w:vertAlign w:val="superscript"/>
        </w:rPr>
        <w:footnoteReference w:customMarkFollows="0" w:id="26"/>
      </w:r>
      <w:r w:rsidDel="00000000" w:rsidR="00000000" w:rsidRPr="00000000">
        <w:rPr>
          <w:rFonts w:ascii="Calibri" w:cs="Calibri" w:eastAsia="Calibri" w:hAnsi="Calibri"/>
          <w:b w:val="0"/>
          <w:sz w:val="22"/>
          <w:szCs w:val="22"/>
          <w:rtl w:val="0"/>
        </w:rPr>
        <w:t xml:space="preserve"> ‘In leven en sterven’.</w:t>
      </w:r>
      <w:r w:rsidDel="00000000" w:rsidR="00000000" w:rsidRPr="00000000">
        <w:rPr>
          <w:rFonts w:ascii="Calibri" w:cs="Calibri" w:eastAsia="Calibri" w:hAnsi="Calibri"/>
          <w:b w:val="0"/>
          <w:sz w:val="22"/>
          <w:szCs w:val="22"/>
          <w:vertAlign w:val="superscript"/>
        </w:rPr>
        <w:footnoteReference w:customMarkFollows="0" w:id="27"/>
      </w:r>
      <w:r w:rsidDel="00000000" w:rsidR="00000000" w:rsidRPr="00000000">
        <w:rPr>
          <w:rFonts w:ascii="Calibri" w:cs="Calibri" w:eastAsia="Calibri" w:hAnsi="Calibri"/>
          <w:b w:val="0"/>
          <w:sz w:val="22"/>
          <w:szCs w:val="22"/>
          <w:rtl w:val="0"/>
        </w:rPr>
        <w:t xml:space="preserve"> Doodgaan is geen straf meer. Maar een poort naar ‘eeuwig, zalig leven’.</w:t>
      </w:r>
      <w:r w:rsidDel="00000000" w:rsidR="00000000" w:rsidRPr="00000000">
        <w:rPr>
          <w:rFonts w:ascii="Calibri" w:cs="Calibri" w:eastAsia="Calibri" w:hAnsi="Calibri"/>
          <w:b w:val="0"/>
          <w:sz w:val="22"/>
          <w:szCs w:val="22"/>
          <w:vertAlign w:val="superscript"/>
        </w:rPr>
        <w:footnoteReference w:customMarkFollows="0" w:id="28"/>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Tenslotte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highlight w:val="yellow"/>
          <w:rtl w:val="0"/>
        </w:rPr>
        <w:t xml:space="preserve">Ontzettende verhalen waarin we Jezus ontmoeten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Er komen nog twee geschiedenissen uit Numeri. Het zijn ontzettende verhalen waar je stil van wordt. Voordat de veertig jaar ten einde zijn falen Mozes en Aäron. Zij mogen uiteindelijk ook niet mee naar binnen. Vlak voor de valreep liggen mensen te creperen van de slangenbeten. Geve de Heer door zijn Heilige Geest dat het vooral een ontmoeting met de Heer Jezus Christus zal zijn. Het zicht op Hem mocht niet belemmerd worden. We mogen opkijken naar de man die al onze tekorten op z’n nek nam en aan het kruishout bracht. Wie in Hem gelooft, heeft het eeuwige leven.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Amen </w:t>
      </w:r>
      <w:r w:rsidDel="00000000" w:rsidR="00000000" w:rsidRPr="00000000">
        <w:rPr>
          <w:rtl w:val="0"/>
        </w:rPr>
      </w:r>
    </w:p>
    <w:sectPr>
      <w:headerReference r:id="rId6"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Cambria"/>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111:4 laatste regel.</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Exodus 20,1.</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Exodus 12,40; Galaten 3,17.</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Genesis 17,8.</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Deuteronomium 7,6.</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Deuteronomium 1,22.</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Exodus 3,17.</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46:4</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2,38.</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Deuteronomium 1,29vv.</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Exodus 32,10.</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3,16.</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 Smits in 1959.</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Galaten 3,19; Hebreeën 8,5v; 9,15-22; 12,21-24.</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1,17.</w:t>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Exodus 34,6.</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23.60.</w:t>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Jesaja 53,4.</w:t>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Numeri 32,8-12; Deuteronomium 1.9; Jozua 14,8; Psalm 95,10; 106,24vv; Ezechiël 20,10-26; I Korintiërs 10,1-5; Hebreeën 3.4; Judas, 5.</w:t>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26,27v.</w:t>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Samuël 12,13v.</w:t>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Genesis 2,17.</w:t>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Genesis 3,18.</w:t>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Korintiërs 12,7.</w:t>
      </w:r>
    </w:p>
  </w:footnote>
  <w:footnote w:id="2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12,6.14.</w:t>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Hosea 2,16.</w:t>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Korintiërs 12,9.</w:t>
      </w:r>
    </w:p>
  </w:footnote>
  <w:footnote w:id="2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1.1.</w:t>
      </w:r>
    </w:p>
  </w:footnote>
  <w:footnote w:id="2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16.41.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mc:AlternateContent>
        <mc:Choice Requires="wpg">
          <w:drawing>
            <wp:inline distB="0" distT="0" distL="114300" distR="114300">
              <wp:extent cx="482600" cy="482600"/>
              <wp:effectExtent b="0" l="0" r="0" t="0"/>
              <wp:docPr id="1" name=""/>
              <a:graphic>
                <a:graphicData uri="http://schemas.microsoft.com/office/word/2010/wordprocessingShape">
                  <wps:wsp>
                    <wps:cNvSpPr/>
                    <wps:cNvPr id="1" name="Shape 1"/>
                    <wps:spPr>
                      <a:xfrm>
                        <a:off x="5107239" y="3541239"/>
                        <a:ext cx="477520" cy="477520"/>
                      </a:xfrm>
                      <a:prstGeom prst="ellipse">
                        <a:avLst/>
                      </a:prstGeom>
                      <a:solidFill>
                        <a:srgbClr val="9DBB61"/>
                      </a:solidFill>
                      <a:ln>
                        <a:noFill/>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libri" w:cs="Calibri" w:eastAsia="Calibri" w:hAnsi="Calibri"/>
                              <w:b w:val="1"/>
                              <w:i w:val="0"/>
                              <w:smallCaps w:val="0"/>
                              <w:strike w:val="0"/>
                              <w:color w:val="000000"/>
                              <w:sz w:val="24"/>
                              <w:vertAlign w:val="baseline"/>
                            </w:rPr>
                            <w:t xml:space="preserve">4</w:t>
                          </w:r>
                        </w:p>
                      </w:txbxContent>
                    </wps:txbx>
                    <wps:bodyPr anchorCtr="0" anchor="t" bIns="45700" lIns="0" rIns="0" tIns="45700"/>
                  </wps:wsp>
                </a:graphicData>
              </a:graphic>
            </wp:inline>
          </w:drawing>
        </mc:Choice>
        <mc:Fallback>
          <w:drawing>
            <wp:inline distB="0" distT="0" distL="114300" distR="114300">
              <wp:extent cx="482600" cy="4826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482600" cy="4826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0" w:before="200" w:line="276" w:lineRule="auto"/>
    </w:pPr>
    <w:rPr>
      <w:rFonts w:ascii="Cambria" w:cs="Cambria" w:eastAsia="Cambria" w:hAnsi="Cambria"/>
      <w:b w:val="1"/>
      <w:i w:val="1"/>
      <w:color w:val="4f81bd"/>
      <w:sz w:val="22"/>
      <w:szCs w:val="22"/>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