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FB5DD8" w:rsidRPr="00FB5DD8" w:rsidRDefault="00FB5DD8" w:rsidP="00FB5DD8">
      <w:pPr>
        <w:pStyle w:val="Geenafstand"/>
        <w:jc w:val="center"/>
        <w:rPr>
          <w:b/>
          <w:sz w:val="32"/>
        </w:rPr>
      </w:pPr>
      <w:r w:rsidRPr="00FB5DD8">
        <w:rPr>
          <w:b/>
          <w:sz w:val="32"/>
        </w:rPr>
        <w:t>ACHAB SCHENDT EEN OORLOGSMONUMENT</w:t>
      </w:r>
      <w:bookmarkStart w:id="0" w:name="_GoBack"/>
      <w:bookmarkEnd w:id="0"/>
    </w:p>
    <w:p w:rsidR="00FB5DD8" w:rsidRPr="0022335B" w:rsidRDefault="00FB5DD8" w:rsidP="00FB5DD8">
      <w:pPr>
        <w:spacing w:after="200" w:line="240" w:lineRule="auto"/>
        <w:jc w:val="center"/>
        <w:rPr>
          <w:rFonts w:ascii="Calibri" w:eastAsia="Calibri" w:hAnsi="Calibri" w:cs="Arial"/>
          <w:sz w:val="24"/>
          <w:szCs w:val="28"/>
        </w:rPr>
      </w:pPr>
      <w:r w:rsidRPr="0022335B">
        <w:rPr>
          <w:rFonts w:ascii="Calibri" w:eastAsia="Calibri" w:hAnsi="Calibri" w:cs="Arial"/>
          <w:sz w:val="24"/>
          <w:szCs w:val="28"/>
        </w:rPr>
        <w:t>preek over I Koningen 16,34</w:t>
      </w:r>
    </w:p>
    <w:p w:rsidR="00FB5DD8" w:rsidRPr="0022335B" w:rsidRDefault="00FB5DD8" w:rsidP="00FB5DD8">
      <w:pPr>
        <w:spacing w:after="0" w:line="240" w:lineRule="auto"/>
        <w:rPr>
          <w:rFonts w:ascii="Calibri" w:eastAsia="Calibri" w:hAnsi="Calibri" w:cs="Arial"/>
          <w:sz w:val="24"/>
          <w:szCs w:val="28"/>
        </w:rPr>
      </w:pPr>
    </w:p>
    <w:p w:rsidR="00FB5DD8" w:rsidRPr="0022335B" w:rsidRDefault="00FB5DD8" w:rsidP="00FB5DD8">
      <w:pPr>
        <w:spacing w:after="0" w:line="240" w:lineRule="auto"/>
        <w:rPr>
          <w:rFonts w:ascii="Calibri" w:eastAsia="Calibri" w:hAnsi="Calibri" w:cs="Arial"/>
          <w:sz w:val="24"/>
          <w:szCs w:val="28"/>
        </w:rPr>
      </w:pPr>
      <w:r w:rsidRPr="0022335B">
        <w:rPr>
          <w:rFonts w:ascii="Calibri" w:eastAsia="Calibri" w:hAnsi="Calibri" w:cs="Arial"/>
          <w:sz w:val="24"/>
          <w:szCs w:val="28"/>
        </w:rPr>
        <w:t xml:space="preserve">Lezen  Jozua 5,13—6,26 (!); I Koningen 16,29-33 </w:t>
      </w:r>
    </w:p>
    <w:p w:rsidR="00FB5DD8" w:rsidRPr="0022335B" w:rsidRDefault="00FB5DD8" w:rsidP="00FB5DD8">
      <w:pPr>
        <w:spacing w:after="0" w:line="240" w:lineRule="auto"/>
        <w:rPr>
          <w:rFonts w:ascii="Calibri" w:eastAsia="Calibri" w:hAnsi="Calibri" w:cs="Arial"/>
          <w:sz w:val="24"/>
          <w:szCs w:val="28"/>
        </w:rPr>
      </w:pPr>
      <w:r w:rsidRPr="0022335B">
        <w:rPr>
          <w:rFonts w:ascii="Calibri" w:eastAsia="Calibri" w:hAnsi="Calibri" w:cs="Arial"/>
          <w:sz w:val="24"/>
          <w:szCs w:val="28"/>
        </w:rPr>
        <w:t>Bedum, 30 oktober 2016</w:t>
      </w:r>
    </w:p>
    <w:p w:rsidR="00FB5DD8" w:rsidRPr="0022335B" w:rsidRDefault="00FB5DD8" w:rsidP="00FB5DD8">
      <w:pPr>
        <w:spacing w:after="0" w:line="240" w:lineRule="auto"/>
        <w:rPr>
          <w:rFonts w:ascii="Calibri" w:eastAsia="Calibri" w:hAnsi="Calibri" w:cs="Arial"/>
          <w:sz w:val="24"/>
          <w:szCs w:val="28"/>
        </w:rPr>
      </w:pPr>
    </w:p>
    <w:p w:rsidR="00FB5DD8" w:rsidRPr="0022335B" w:rsidRDefault="00FB5DD8" w:rsidP="00FB5DD8">
      <w:pPr>
        <w:spacing w:after="0" w:line="240" w:lineRule="auto"/>
        <w:jc w:val="right"/>
        <w:rPr>
          <w:rFonts w:ascii="Calibri" w:eastAsia="Calibri" w:hAnsi="Calibri" w:cs="Arial"/>
          <w:sz w:val="24"/>
          <w:szCs w:val="28"/>
        </w:rPr>
      </w:pPr>
      <w:r w:rsidRPr="0022335B">
        <w:rPr>
          <w:rFonts w:ascii="Calibri" w:eastAsia="Calibri" w:hAnsi="Calibri" w:cs="Arial"/>
          <w:sz w:val="24"/>
          <w:szCs w:val="28"/>
        </w:rPr>
        <w:t>Ds. Marten de Vries</w:t>
      </w:r>
    </w:p>
    <w:p w:rsidR="00FB5DD8" w:rsidRDefault="00FB5DD8" w:rsidP="00FB5DD8">
      <w:pPr>
        <w:pBdr>
          <w:bottom w:val="single" w:sz="6" w:space="1" w:color="auto"/>
        </w:pBdr>
        <w:spacing w:after="0" w:line="240" w:lineRule="auto"/>
        <w:rPr>
          <w:rFonts w:ascii="Calibri" w:eastAsia="Calibri" w:hAnsi="Calibri" w:cs="Arial"/>
          <w:iCs/>
          <w:sz w:val="24"/>
          <w:lang w:eastAsia="nl-NL"/>
        </w:rPr>
      </w:pPr>
      <w:r w:rsidRPr="0022335B">
        <w:rPr>
          <w:rFonts w:ascii="Calibri" w:eastAsia="Calibri" w:hAnsi="Calibri" w:cs="Arial"/>
          <w:sz w:val="18"/>
          <w:lang w:eastAsia="nl-NL"/>
        </w:rPr>
        <w:t> </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Gemeente van Jezus Christus, mijn zussen en broers in Hem,</w:t>
      </w:r>
    </w:p>
    <w:p w:rsidR="00FB5DD8" w:rsidRPr="0022335B" w:rsidRDefault="00FB5DD8" w:rsidP="00FB5DD8">
      <w:pPr>
        <w:spacing w:after="0" w:line="240" w:lineRule="auto"/>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r w:rsidRPr="0022335B">
        <w:rPr>
          <w:rFonts w:ascii="Calibri" w:eastAsia="Calibri" w:hAnsi="Calibri" w:cs="Arial"/>
          <w:b/>
          <w:i/>
          <w:iCs/>
          <w:sz w:val="24"/>
          <w:lang w:eastAsia="nl-NL"/>
        </w:rPr>
        <w:t>Vier je Bijbel</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Op de terugweg van Kaapstad dacht ik aan de preek van vanmorgen. Vliegend boven Afrika en het Midden-Oosten vroeg ik een paar jongelui wat ze zich herinnerden van de val van Jericho. Bij de een ging geen lampje branden. Nummer twee zei: “Was dat niet iets met muren of zo?” Persoon drie kende het verhaal! Maar excuseerde zich met: “Wij hebben na mijn basisschoolperiode natuurlijk thuis ook nog wel uit de kinderbijbel gelezen.” Deze ervaring onderstreept het belang van beide gemeenteavonden die Janneke Burger verzorgt: afgelopen en aanstaande donderdagavond over Bijbellezen met opgroeiende kinderen. Het is bovendien vandaag ‘Nationale Bijbelzondag’. Uitgeroepen door het Nederlands Bijbelgenootschap. Met als thema: ‘Vier je Bijbel’. Niet dat ik er zoveel mee heb, een zondag voor dit en een zondag voor dat. Maar misschien moesten we als we de ‘m’ van ‘B-E-D-U-M’ hebben gehad toch nog eens een jaarthema besteden aan de ‘B’ van ‘Bijbel’.</w:t>
      </w:r>
    </w:p>
    <w:p w:rsidR="00FB5DD8" w:rsidRPr="0022335B" w:rsidRDefault="00FB5DD8" w:rsidP="00FB5DD8">
      <w:pPr>
        <w:spacing w:after="0" w:line="240" w:lineRule="auto"/>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r w:rsidRPr="0022335B">
        <w:rPr>
          <w:rFonts w:ascii="Calibri" w:eastAsia="Calibri" w:hAnsi="Calibri" w:cs="Arial"/>
          <w:b/>
          <w:i/>
          <w:iCs/>
          <w:sz w:val="24"/>
          <w:lang w:eastAsia="nl-NL"/>
        </w:rPr>
        <w:t>Geloofsopvoeding niet uitbesteden</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 xml:space="preserve">Je kunt geloofsopvoeding niet uitbesteden aan school of catechiseermeester. Ooit zat er op een Gereformeerde basisschool op het Groninger platteland een jongetje uit een kerkelijk niet bijzonder meelevend gezin. De Bijbel ging thuis niet of nauwelijks open. Daardoor nam Jan er in de klas ook niet veel van mee. Juf had verteld over de inname van Jericho. Dat de Israëlieten er niets voor hadden hoeven doen. God had ervoor gezorgd dat de muren instortten. De volgende morgen vroeg ze de kinderen het Bijbelverhaal terug. Juf: “Wie heeft de muur van Jericho neergehaald? Jan?” “Dat heb ík </w:t>
      </w:r>
      <w:proofErr w:type="spellStart"/>
      <w:r w:rsidRPr="0022335B">
        <w:rPr>
          <w:rFonts w:ascii="Calibri" w:eastAsia="Calibri" w:hAnsi="Calibri" w:cs="Arial"/>
          <w:iCs/>
          <w:sz w:val="24"/>
          <w:lang w:eastAsia="nl-NL"/>
        </w:rPr>
        <w:t>nait</w:t>
      </w:r>
      <w:proofErr w:type="spellEnd"/>
      <w:r w:rsidRPr="0022335B">
        <w:rPr>
          <w:rFonts w:ascii="Calibri" w:eastAsia="Calibri" w:hAnsi="Calibri" w:cs="Arial"/>
          <w:iCs/>
          <w:sz w:val="24"/>
          <w:lang w:eastAsia="nl-NL"/>
        </w:rPr>
        <w:t xml:space="preserve"> </w:t>
      </w:r>
      <w:proofErr w:type="spellStart"/>
      <w:r w:rsidRPr="0022335B">
        <w:rPr>
          <w:rFonts w:ascii="Calibri" w:eastAsia="Calibri" w:hAnsi="Calibri" w:cs="Arial"/>
          <w:iCs/>
          <w:sz w:val="24"/>
          <w:lang w:eastAsia="nl-NL"/>
        </w:rPr>
        <w:t>doan</w:t>
      </w:r>
      <w:proofErr w:type="spellEnd"/>
      <w:r w:rsidRPr="0022335B">
        <w:rPr>
          <w:rFonts w:ascii="Calibri" w:eastAsia="Calibri" w:hAnsi="Calibri" w:cs="Arial"/>
          <w:iCs/>
          <w:sz w:val="24"/>
          <w:lang w:eastAsia="nl-NL"/>
        </w:rPr>
        <w:t xml:space="preserve">, </w:t>
      </w:r>
      <w:proofErr w:type="spellStart"/>
      <w:r w:rsidRPr="0022335B">
        <w:rPr>
          <w:rFonts w:ascii="Calibri" w:eastAsia="Calibri" w:hAnsi="Calibri" w:cs="Arial"/>
          <w:iCs/>
          <w:sz w:val="24"/>
          <w:lang w:eastAsia="nl-NL"/>
        </w:rPr>
        <w:t>juffraauw</w:t>
      </w:r>
      <w:proofErr w:type="spellEnd"/>
      <w:r w:rsidRPr="0022335B">
        <w:rPr>
          <w:rFonts w:ascii="Calibri" w:eastAsia="Calibri" w:hAnsi="Calibri" w:cs="Arial"/>
          <w:iCs/>
          <w:sz w:val="24"/>
          <w:lang w:eastAsia="nl-NL"/>
        </w:rPr>
        <w:t xml:space="preserve">!”, zei Jan. Juf: “Jan, zo mag je niet praten. Het gaat over de Bijbel. Ik ga het er met je ouders over hebben.” ’s Middag stond moeke Jan buiten op te wachten. Juf naar haar toe. “Mevrouw, ik wil het even met u hebben over Jan.” “Joe </w:t>
      </w:r>
      <w:proofErr w:type="spellStart"/>
      <w:r w:rsidRPr="0022335B">
        <w:rPr>
          <w:rFonts w:ascii="Calibri" w:eastAsia="Calibri" w:hAnsi="Calibri" w:cs="Arial"/>
          <w:iCs/>
          <w:sz w:val="24"/>
          <w:lang w:eastAsia="nl-NL"/>
        </w:rPr>
        <w:t>zèggen</w:t>
      </w:r>
      <w:proofErr w:type="spellEnd"/>
      <w:r w:rsidRPr="0022335B">
        <w:rPr>
          <w:rFonts w:ascii="Calibri" w:eastAsia="Calibri" w:hAnsi="Calibri" w:cs="Arial"/>
          <w:iCs/>
          <w:sz w:val="24"/>
          <w:lang w:eastAsia="nl-NL"/>
        </w:rPr>
        <w:t xml:space="preserve"> t mor, </w:t>
      </w:r>
      <w:proofErr w:type="spellStart"/>
      <w:r w:rsidRPr="0022335B">
        <w:rPr>
          <w:rFonts w:ascii="Calibri" w:eastAsia="Calibri" w:hAnsi="Calibri" w:cs="Arial"/>
          <w:iCs/>
          <w:sz w:val="24"/>
          <w:lang w:eastAsia="nl-NL"/>
        </w:rPr>
        <w:t>juffraauw</w:t>
      </w:r>
      <w:proofErr w:type="spellEnd"/>
      <w:r w:rsidRPr="0022335B">
        <w:rPr>
          <w:rFonts w:ascii="Calibri" w:eastAsia="Calibri" w:hAnsi="Calibri" w:cs="Arial"/>
          <w:iCs/>
          <w:sz w:val="24"/>
          <w:lang w:eastAsia="nl-NL"/>
        </w:rPr>
        <w:t>.”</w:t>
      </w:r>
    </w:p>
    <w:p w:rsidR="00FB5DD8" w:rsidRPr="0022335B" w:rsidRDefault="00FB5DD8" w:rsidP="00FB5DD8">
      <w:pPr>
        <w:spacing w:after="0" w:line="240" w:lineRule="auto"/>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r w:rsidRPr="0022335B">
        <w:rPr>
          <w:rFonts w:ascii="Calibri" w:eastAsia="Calibri" w:hAnsi="Calibri" w:cs="Arial"/>
          <w:b/>
          <w:i/>
          <w:iCs/>
          <w:sz w:val="24"/>
          <w:lang w:eastAsia="nl-NL"/>
        </w:rPr>
        <w:t xml:space="preserve">Hai </w:t>
      </w:r>
      <w:proofErr w:type="spellStart"/>
      <w:r w:rsidRPr="0022335B">
        <w:rPr>
          <w:rFonts w:ascii="Calibri" w:eastAsia="Calibri" w:hAnsi="Calibri" w:cs="Arial"/>
          <w:b/>
          <w:i/>
          <w:iCs/>
          <w:sz w:val="24"/>
          <w:lang w:eastAsia="nl-NL"/>
        </w:rPr>
        <w:t>lugt</w:t>
      </w:r>
      <w:proofErr w:type="spellEnd"/>
      <w:r w:rsidRPr="0022335B">
        <w:rPr>
          <w:rFonts w:ascii="Calibri" w:eastAsia="Calibri" w:hAnsi="Calibri" w:cs="Arial"/>
          <w:b/>
          <w:i/>
          <w:iCs/>
          <w:sz w:val="24"/>
          <w:lang w:eastAsia="nl-NL"/>
        </w:rPr>
        <w:t xml:space="preserve"> </w:t>
      </w:r>
      <w:proofErr w:type="spellStart"/>
      <w:r w:rsidRPr="0022335B">
        <w:rPr>
          <w:rFonts w:ascii="Calibri" w:eastAsia="Calibri" w:hAnsi="Calibri" w:cs="Arial"/>
          <w:b/>
          <w:i/>
          <w:iCs/>
          <w:sz w:val="24"/>
          <w:lang w:eastAsia="nl-NL"/>
        </w:rPr>
        <w:t>noeit</w:t>
      </w:r>
      <w:proofErr w:type="spellEnd"/>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“Gisteren heb ik verteld over Jericho. Ik vroeg Jan wie de muur heeft laten instorten. En wat zei hij? Dat híj het niet gedaan had.” “</w:t>
      </w:r>
      <w:proofErr w:type="spellStart"/>
      <w:r w:rsidRPr="0022335B">
        <w:rPr>
          <w:rFonts w:ascii="Calibri" w:eastAsia="Calibri" w:hAnsi="Calibri" w:cs="Arial"/>
          <w:iCs/>
          <w:sz w:val="24"/>
          <w:lang w:eastAsia="nl-NL"/>
        </w:rPr>
        <w:t>Juffraauw</w:t>
      </w:r>
      <w:proofErr w:type="spellEnd"/>
      <w:r w:rsidRPr="0022335B">
        <w:rPr>
          <w:rFonts w:ascii="Calibri" w:eastAsia="Calibri" w:hAnsi="Calibri" w:cs="Arial"/>
          <w:iCs/>
          <w:sz w:val="24"/>
          <w:lang w:eastAsia="nl-NL"/>
        </w:rPr>
        <w:t xml:space="preserve">, ik kin joe </w:t>
      </w:r>
      <w:proofErr w:type="spellStart"/>
      <w:r w:rsidRPr="0022335B">
        <w:rPr>
          <w:rFonts w:ascii="Calibri" w:eastAsia="Calibri" w:hAnsi="Calibri" w:cs="Arial"/>
          <w:iCs/>
          <w:sz w:val="24"/>
          <w:lang w:eastAsia="nl-NL"/>
        </w:rPr>
        <w:t>ain</w:t>
      </w:r>
      <w:proofErr w:type="spellEnd"/>
      <w:r w:rsidRPr="0022335B">
        <w:rPr>
          <w:rFonts w:ascii="Calibri" w:eastAsia="Calibri" w:hAnsi="Calibri" w:cs="Arial"/>
          <w:iCs/>
          <w:sz w:val="24"/>
          <w:lang w:eastAsia="nl-NL"/>
        </w:rPr>
        <w:t xml:space="preserve"> ding wel </w:t>
      </w:r>
      <w:proofErr w:type="spellStart"/>
      <w:r w:rsidRPr="0022335B">
        <w:rPr>
          <w:rFonts w:ascii="Calibri" w:eastAsia="Calibri" w:hAnsi="Calibri" w:cs="Arial"/>
          <w:iCs/>
          <w:sz w:val="24"/>
          <w:lang w:eastAsia="nl-NL"/>
        </w:rPr>
        <w:t>vertèllen</w:t>
      </w:r>
      <w:proofErr w:type="spellEnd"/>
      <w:r w:rsidRPr="0022335B">
        <w:rPr>
          <w:rFonts w:ascii="Calibri" w:eastAsia="Calibri" w:hAnsi="Calibri" w:cs="Arial"/>
          <w:iCs/>
          <w:sz w:val="24"/>
          <w:lang w:eastAsia="nl-NL"/>
        </w:rPr>
        <w:t xml:space="preserve">. As Jan </w:t>
      </w:r>
      <w:proofErr w:type="spellStart"/>
      <w:r w:rsidRPr="0022335B">
        <w:rPr>
          <w:rFonts w:ascii="Calibri" w:eastAsia="Calibri" w:hAnsi="Calibri" w:cs="Arial"/>
          <w:iCs/>
          <w:sz w:val="24"/>
          <w:lang w:eastAsia="nl-NL"/>
        </w:rPr>
        <w:t>zègt</w:t>
      </w:r>
      <w:proofErr w:type="spellEnd"/>
      <w:r w:rsidRPr="0022335B">
        <w:rPr>
          <w:rFonts w:ascii="Calibri" w:eastAsia="Calibri" w:hAnsi="Calibri" w:cs="Arial"/>
          <w:iCs/>
          <w:sz w:val="24"/>
          <w:lang w:eastAsia="nl-NL"/>
        </w:rPr>
        <w:t xml:space="preserve"> dat er t </w:t>
      </w:r>
      <w:proofErr w:type="spellStart"/>
      <w:r w:rsidRPr="0022335B">
        <w:rPr>
          <w:rFonts w:ascii="Calibri" w:eastAsia="Calibri" w:hAnsi="Calibri" w:cs="Arial"/>
          <w:iCs/>
          <w:sz w:val="24"/>
          <w:lang w:eastAsia="nl-NL"/>
        </w:rPr>
        <w:t>nait</w:t>
      </w:r>
      <w:proofErr w:type="spellEnd"/>
      <w:r w:rsidRPr="0022335B">
        <w:rPr>
          <w:rFonts w:ascii="Calibri" w:eastAsia="Calibri" w:hAnsi="Calibri" w:cs="Arial"/>
          <w:iCs/>
          <w:sz w:val="24"/>
          <w:lang w:eastAsia="nl-NL"/>
        </w:rPr>
        <w:t xml:space="preserve"> </w:t>
      </w:r>
      <w:proofErr w:type="spellStart"/>
      <w:r w:rsidRPr="0022335B">
        <w:rPr>
          <w:rFonts w:ascii="Calibri" w:eastAsia="Calibri" w:hAnsi="Calibri" w:cs="Arial"/>
          <w:iCs/>
          <w:sz w:val="24"/>
          <w:lang w:eastAsia="nl-NL"/>
        </w:rPr>
        <w:t>doan</w:t>
      </w:r>
      <w:proofErr w:type="spellEnd"/>
      <w:r w:rsidRPr="0022335B">
        <w:rPr>
          <w:rFonts w:ascii="Calibri" w:eastAsia="Calibri" w:hAnsi="Calibri" w:cs="Arial"/>
          <w:iCs/>
          <w:sz w:val="24"/>
          <w:lang w:eastAsia="nl-NL"/>
        </w:rPr>
        <w:t xml:space="preserve"> het, </w:t>
      </w:r>
      <w:proofErr w:type="spellStart"/>
      <w:r w:rsidRPr="0022335B">
        <w:rPr>
          <w:rFonts w:ascii="Calibri" w:eastAsia="Calibri" w:hAnsi="Calibri" w:cs="Arial"/>
          <w:iCs/>
          <w:sz w:val="24"/>
          <w:lang w:eastAsia="nl-NL"/>
        </w:rPr>
        <w:t>din</w:t>
      </w:r>
      <w:proofErr w:type="spellEnd"/>
      <w:r w:rsidRPr="0022335B">
        <w:rPr>
          <w:rFonts w:ascii="Calibri" w:eastAsia="Calibri" w:hAnsi="Calibri" w:cs="Arial"/>
          <w:iCs/>
          <w:sz w:val="24"/>
          <w:lang w:eastAsia="nl-NL"/>
        </w:rPr>
        <w:t xml:space="preserve"> hét er t ook </w:t>
      </w:r>
      <w:proofErr w:type="spellStart"/>
      <w:r w:rsidRPr="0022335B">
        <w:rPr>
          <w:rFonts w:ascii="Calibri" w:eastAsia="Calibri" w:hAnsi="Calibri" w:cs="Arial"/>
          <w:iCs/>
          <w:sz w:val="24"/>
          <w:lang w:eastAsia="nl-NL"/>
        </w:rPr>
        <w:t>nait</w:t>
      </w:r>
      <w:proofErr w:type="spellEnd"/>
      <w:r w:rsidRPr="0022335B">
        <w:rPr>
          <w:rFonts w:ascii="Calibri" w:eastAsia="Calibri" w:hAnsi="Calibri" w:cs="Arial"/>
          <w:iCs/>
          <w:sz w:val="24"/>
          <w:lang w:eastAsia="nl-NL"/>
        </w:rPr>
        <w:t xml:space="preserve"> doen. Ik </w:t>
      </w:r>
      <w:proofErr w:type="spellStart"/>
      <w:r w:rsidRPr="0022335B">
        <w:rPr>
          <w:rFonts w:ascii="Calibri" w:eastAsia="Calibri" w:hAnsi="Calibri" w:cs="Arial"/>
          <w:iCs/>
          <w:sz w:val="24"/>
          <w:lang w:eastAsia="nl-NL"/>
        </w:rPr>
        <w:t>wait</w:t>
      </w:r>
      <w:proofErr w:type="spellEnd"/>
      <w:r w:rsidRPr="0022335B">
        <w:rPr>
          <w:rFonts w:ascii="Calibri" w:eastAsia="Calibri" w:hAnsi="Calibri" w:cs="Arial"/>
          <w:iCs/>
          <w:sz w:val="24"/>
          <w:lang w:eastAsia="nl-NL"/>
        </w:rPr>
        <w:t xml:space="preserve">, </w:t>
      </w:r>
      <w:proofErr w:type="spellStart"/>
      <w:r w:rsidRPr="0022335B">
        <w:rPr>
          <w:rFonts w:ascii="Calibri" w:eastAsia="Calibri" w:hAnsi="Calibri" w:cs="Arial"/>
          <w:iCs/>
          <w:sz w:val="24"/>
          <w:lang w:eastAsia="nl-NL"/>
        </w:rPr>
        <w:t>ôns</w:t>
      </w:r>
      <w:proofErr w:type="spellEnd"/>
      <w:r w:rsidRPr="0022335B">
        <w:rPr>
          <w:rFonts w:ascii="Calibri" w:eastAsia="Calibri" w:hAnsi="Calibri" w:cs="Arial"/>
          <w:iCs/>
          <w:sz w:val="24"/>
          <w:lang w:eastAsia="nl-NL"/>
        </w:rPr>
        <w:t xml:space="preserve"> Jan kin wel ondeugend wezen. Mor hai </w:t>
      </w:r>
      <w:proofErr w:type="spellStart"/>
      <w:r w:rsidRPr="0022335B">
        <w:rPr>
          <w:rFonts w:ascii="Calibri" w:eastAsia="Calibri" w:hAnsi="Calibri" w:cs="Arial"/>
          <w:iCs/>
          <w:sz w:val="24"/>
          <w:lang w:eastAsia="nl-NL"/>
        </w:rPr>
        <w:t>lugt</w:t>
      </w:r>
      <w:proofErr w:type="spellEnd"/>
      <w:r w:rsidRPr="0022335B">
        <w:rPr>
          <w:rFonts w:ascii="Calibri" w:eastAsia="Calibri" w:hAnsi="Calibri" w:cs="Arial"/>
          <w:iCs/>
          <w:sz w:val="24"/>
          <w:lang w:eastAsia="nl-NL"/>
        </w:rPr>
        <w:t xml:space="preserve"> </w:t>
      </w:r>
      <w:proofErr w:type="spellStart"/>
      <w:r w:rsidRPr="0022335B">
        <w:rPr>
          <w:rFonts w:ascii="Calibri" w:eastAsia="Calibri" w:hAnsi="Calibri" w:cs="Arial"/>
          <w:iCs/>
          <w:sz w:val="24"/>
          <w:lang w:eastAsia="nl-NL"/>
        </w:rPr>
        <w:t>noeit</w:t>
      </w:r>
      <w:proofErr w:type="spellEnd"/>
      <w:r w:rsidRPr="0022335B">
        <w:rPr>
          <w:rFonts w:ascii="Calibri" w:eastAsia="Calibri" w:hAnsi="Calibri" w:cs="Arial"/>
          <w:iCs/>
          <w:sz w:val="24"/>
          <w:lang w:eastAsia="nl-NL"/>
        </w:rPr>
        <w:t xml:space="preserve">.” “Mevrouw, met u kan ik geen serieus gesprek voeren. Ik ga me beklagen bij uw man.” ’s Avonds juf naar Jan z’n huis. Jan doet zelf open. Juf is de kamer nog niet binnen of pa begint: “Moi </w:t>
      </w:r>
      <w:proofErr w:type="spellStart"/>
      <w:r w:rsidRPr="0022335B">
        <w:rPr>
          <w:rFonts w:ascii="Calibri" w:eastAsia="Calibri" w:hAnsi="Calibri" w:cs="Arial"/>
          <w:iCs/>
          <w:sz w:val="24"/>
          <w:lang w:eastAsia="nl-NL"/>
        </w:rPr>
        <w:t>juffraauw</w:t>
      </w:r>
      <w:proofErr w:type="spellEnd"/>
      <w:r w:rsidRPr="0022335B">
        <w:rPr>
          <w:rFonts w:ascii="Calibri" w:eastAsia="Calibri" w:hAnsi="Calibri" w:cs="Arial"/>
          <w:iCs/>
          <w:sz w:val="24"/>
          <w:lang w:eastAsia="nl-NL"/>
        </w:rPr>
        <w:t xml:space="preserve">. Joe kommen toch </w:t>
      </w:r>
      <w:proofErr w:type="spellStart"/>
      <w:r w:rsidRPr="0022335B">
        <w:rPr>
          <w:rFonts w:ascii="Calibri" w:eastAsia="Calibri" w:hAnsi="Calibri" w:cs="Arial"/>
          <w:iCs/>
          <w:sz w:val="24"/>
          <w:lang w:eastAsia="nl-NL"/>
        </w:rPr>
        <w:t>nait</w:t>
      </w:r>
      <w:proofErr w:type="spellEnd"/>
      <w:r w:rsidRPr="0022335B">
        <w:rPr>
          <w:rFonts w:ascii="Calibri" w:eastAsia="Calibri" w:hAnsi="Calibri" w:cs="Arial"/>
          <w:iCs/>
          <w:sz w:val="24"/>
          <w:lang w:eastAsia="nl-NL"/>
        </w:rPr>
        <w:t xml:space="preserve"> veur dei muur?” “Daar wou ik het inderdaad met u over hebben, meneer. Met uw vrouw kwam ik er niet uit. “</w:t>
      </w:r>
      <w:proofErr w:type="spellStart"/>
      <w:r w:rsidRPr="0022335B">
        <w:rPr>
          <w:rFonts w:ascii="Calibri" w:eastAsia="Calibri" w:hAnsi="Calibri" w:cs="Arial"/>
          <w:iCs/>
          <w:sz w:val="24"/>
          <w:lang w:eastAsia="nl-NL"/>
        </w:rPr>
        <w:t>Juffraauw</w:t>
      </w:r>
      <w:proofErr w:type="spellEnd"/>
      <w:r w:rsidRPr="0022335B">
        <w:rPr>
          <w:rFonts w:ascii="Calibri" w:eastAsia="Calibri" w:hAnsi="Calibri" w:cs="Arial"/>
          <w:iCs/>
          <w:sz w:val="24"/>
          <w:lang w:eastAsia="nl-NL"/>
        </w:rPr>
        <w:t xml:space="preserve">, ik bin dat </w:t>
      </w:r>
      <w:proofErr w:type="spellStart"/>
      <w:r w:rsidRPr="0022335B">
        <w:rPr>
          <w:rFonts w:ascii="Calibri" w:eastAsia="Calibri" w:hAnsi="Calibri" w:cs="Arial"/>
          <w:iCs/>
          <w:sz w:val="24"/>
          <w:lang w:eastAsia="nl-NL"/>
        </w:rPr>
        <w:t>haile</w:t>
      </w:r>
      <w:proofErr w:type="spellEnd"/>
      <w:r w:rsidRPr="0022335B">
        <w:rPr>
          <w:rFonts w:ascii="Calibri" w:eastAsia="Calibri" w:hAnsi="Calibri" w:cs="Arial"/>
          <w:iCs/>
          <w:sz w:val="24"/>
          <w:lang w:eastAsia="nl-NL"/>
        </w:rPr>
        <w:t xml:space="preserve"> gesoes over dei </w:t>
      </w:r>
      <w:proofErr w:type="spellStart"/>
      <w:r w:rsidRPr="0022335B">
        <w:rPr>
          <w:rFonts w:ascii="Calibri" w:eastAsia="Calibri" w:hAnsi="Calibri" w:cs="Arial"/>
          <w:iCs/>
          <w:sz w:val="24"/>
          <w:lang w:eastAsia="nl-NL"/>
        </w:rPr>
        <w:t>òl</w:t>
      </w:r>
      <w:proofErr w:type="spellEnd"/>
      <w:r w:rsidRPr="0022335B">
        <w:rPr>
          <w:rFonts w:ascii="Calibri" w:eastAsia="Calibri" w:hAnsi="Calibri" w:cs="Arial"/>
          <w:iCs/>
          <w:sz w:val="24"/>
          <w:lang w:eastAsia="nl-NL"/>
        </w:rPr>
        <w:t xml:space="preserve"> muur wel zó </w:t>
      </w:r>
      <w:proofErr w:type="spellStart"/>
      <w:r w:rsidRPr="0022335B">
        <w:rPr>
          <w:rFonts w:ascii="Calibri" w:eastAsia="Calibri" w:hAnsi="Calibri" w:cs="Arial"/>
          <w:iCs/>
          <w:sz w:val="24"/>
          <w:lang w:eastAsia="nl-NL"/>
        </w:rPr>
        <w:t>stìnzat</w:t>
      </w:r>
      <w:proofErr w:type="spellEnd"/>
      <w:r w:rsidRPr="0022335B">
        <w:rPr>
          <w:rFonts w:ascii="Calibri" w:eastAsia="Calibri" w:hAnsi="Calibri" w:cs="Arial"/>
          <w:iCs/>
          <w:sz w:val="24"/>
          <w:lang w:eastAsia="nl-NL"/>
        </w:rPr>
        <w:t xml:space="preserve">. Joe geven mie reken mor. </w:t>
      </w:r>
      <w:proofErr w:type="spellStart"/>
      <w:r w:rsidRPr="0022335B">
        <w:rPr>
          <w:rFonts w:ascii="Calibri" w:eastAsia="Calibri" w:hAnsi="Calibri" w:cs="Arial"/>
          <w:iCs/>
          <w:sz w:val="24"/>
          <w:lang w:eastAsia="nl-NL"/>
        </w:rPr>
        <w:t>Din</w:t>
      </w:r>
      <w:proofErr w:type="spellEnd"/>
      <w:r w:rsidRPr="0022335B">
        <w:rPr>
          <w:rFonts w:ascii="Calibri" w:eastAsia="Calibri" w:hAnsi="Calibri" w:cs="Arial"/>
          <w:iCs/>
          <w:sz w:val="24"/>
          <w:lang w:eastAsia="nl-NL"/>
        </w:rPr>
        <w:t xml:space="preserve"> </w:t>
      </w:r>
      <w:proofErr w:type="spellStart"/>
      <w:r w:rsidRPr="0022335B">
        <w:rPr>
          <w:rFonts w:ascii="Calibri" w:eastAsia="Calibri" w:hAnsi="Calibri" w:cs="Arial"/>
          <w:iCs/>
          <w:sz w:val="24"/>
          <w:lang w:eastAsia="nl-NL"/>
        </w:rPr>
        <w:t>zel</w:t>
      </w:r>
      <w:proofErr w:type="spellEnd"/>
      <w:r w:rsidRPr="0022335B">
        <w:rPr>
          <w:rFonts w:ascii="Calibri" w:eastAsia="Calibri" w:hAnsi="Calibri" w:cs="Arial"/>
          <w:iCs/>
          <w:sz w:val="24"/>
          <w:lang w:eastAsia="nl-NL"/>
        </w:rPr>
        <w:t xml:space="preserve"> k hom </w:t>
      </w:r>
      <w:proofErr w:type="spellStart"/>
      <w:r w:rsidRPr="0022335B">
        <w:rPr>
          <w:rFonts w:ascii="Calibri" w:eastAsia="Calibri" w:hAnsi="Calibri" w:cs="Arial"/>
          <w:iCs/>
          <w:sz w:val="24"/>
          <w:lang w:eastAsia="nl-NL"/>
        </w:rPr>
        <w:t>vôt</w:t>
      </w:r>
      <w:proofErr w:type="spellEnd"/>
      <w:r w:rsidRPr="0022335B">
        <w:rPr>
          <w:rFonts w:ascii="Calibri" w:eastAsia="Calibri" w:hAnsi="Calibri" w:cs="Arial"/>
          <w:iCs/>
          <w:sz w:val="24"/>
          <w:lang w:eastAsia="nl-NL"/>
        </w:rPr>
        <w:t xml:space="preserve"> wel </w:t>
      </w:r>
      <w:proofErr w:type="spellStart"/>
      <w:r w:rsidRPr="0022335B">
        <w:rPr>
          <w:rFonts w:ascii="Calibri" w:eastAsia="Calibri" w:hAnsi="Calibri" w:cs="Arial"/>
          <w:iCs/>
          <w:sz w:val="24"/>
          <w:lang w:eastAsia="nl-NL"/>
        </w:rPr>
        <w:t>betoalen</w:t>
      </w:r>
      <w:proofErr w:type="spellEnd"/>
      <w:r w:rsidRPr="0022335B">
        <w:rPr>
          <w:rFonts w:ascii="Calibri" w:eastAsia="Calibri" w:hAnsi="Calibri" w:cs="Arial"/>
          <w:iCs/>
          <w:sz w:val="24"/>
          <w:lang w:eastAsia="nl-NL"/>
        </w:rPr>
        <w:t>.”</w:t>
      </w:r>
    </w:p>
    <w:p w:rsidR="00FB5DD8" w:rsidRPr="0022335B" w:rsidRDefault="00FB5DD8" w:rsidP="00FB5DD8">
      <w:pPr>
        <w:spacing w:after="0" w:line="240" w:lineRule="auto"/>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r w:rsidRPr="0022335B">
        <w:rPr>
          <w:rFonts w:ascii="Calibri" w:eastAsia="Calibri" w:hAnsi="Calibri" w:cs="Arial"/>
          <w:b/>
          <w:i/>
          <w:iCs/>
          <w:sz w:val="24"/>
          <w:lang w:eastAsia="nl-NL"/>
        </w:rPr>
        <w:lastRenderedPageBreak/>
        <w:t>Niet rechtbuigen, niet dichtmaken. Laat liggen</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De muur van Jericho. Die stond. Toen plotsklaps niet meer. Vervolgens wel weer. Wat niet had gemoeten. Vijfhonderd jaar lang had Jericho het zonder muren gedaan. Heel opvallend. Alle steden waren ommuurd. Groningen en andere Nederlandse steden kenden stadsmuren. In het Bijbelse gebied was het niet anders. Bij een strategisch gelegen grensplaats als ‘de Palmstad’ – zoals Jericho wel heette</w:t>
      </w:r>
      <w:r w:rsidRPr="0022335B">
        <w:rPr>
          <w:rFonts w:ascii="Calibri" w:eastAsia="Calibri" w:hAnsi="Calibri" w:cs="Arial"/>
          <w:iCs/>
          <w:sz w:val="24"/>
          <w:vertAlign w:val="superscript"/>
          <w:lang w:eastAsia="nl-NL"/>
        </w:rPr>
        <w:footnoteReference w:id="1"/>
      </w:r>
      <w:r w:rsidRPr="0022335B">
        <w:rPr>
          <w:rFonts w:ascii="Calibri" w:eastAsia="Calibri" w:hAnsi="Calibri" w:cs="Arial"/>
          <w:iCs/>
          <w:sz w:val="24"/>
          <w:lang w:eastAsia="nl-NL"/>
        </w:rPr>
        <w:t xml:space="preserve"> - lag het helemaal voor de hand. Maar rond Jericho zag je geen ópgerichte maar een íngestorte muur. Néérgehaald. Niet door soldaten. Door God eigenhandig kapotgescheurd. Het was een oorlogsmonument. Zoals de spoorlijn met omhoog gebogen rails bij Westerbork. Of het monument ‘De verwoeste stad’ van Zadkine op Plein 1940 in Rotterdam: een menselijk figuur zonder hart. Oneerbiedig ‘Jan Gat’ genoemd. Het gat verbeeldt het door het Duitse bombardement verwoeste centrum van de havenstad. De rails moet je niet rechtbuigen, het gat niet dichtmaken. De muur moest als gedenkteken blijven liggen.</w:t>
      </w:r>
    </w:p>
    <w:p w:rsidR="00FB5DD8" w:rsidRPr="0022335B" w:rsidRDefault="00FB5DD8" w:rsidP="00FB5DD8">
      <w:pPr>
        <w:spacing w:after="0" w:line="240" w:lineRule="auto"/>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Titel:</w:t>
      </w:r>
    </w:p>
    <w:p w:rsidR="00FB5DD8" w:rsidRPr="0022335B" w:rsidRDefault="00FB5DD8" w:rsidP="00FB5DD8">
      <w:pPr>
        <w:spacing w:after="0" w:line="240" w:lineRule="auto"/>
        <w:jc w:val="center"/>
        <w:rPr>
          <w:rFonts w:ascii="Calibri" w:eastAsia="Calibri" w:hAnsi="Calibri" w:cs="Arial"/>
          <w:b/>
          <w:iCs/>
          <w:sz w:val="32"/>
          <w:lang w:eastAsia="nl-NL"/>
        </w:rPr>
      </w:pPr>
      <w:r w:rsidRPr="0022335B">
        <w:rPr>
          <w:rFonts w:ascii="Calibri" w:eastAsia="Calibri" w:hAnsi="Calibri" w:cs="Arial"/>
          <w:b/>
          <w:iCs/>
          <w:sz w:val="32"/>
          <w:lang w:eastAsia="nl-NL"/>
        </w:rPr>
        <w:t>ACHAB SCHENDT EEN OORLOGSMONUMENT</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Drie dingen.</w:t>
      </w:r>
    </w:p>
    <w:p w:rsidR="00FB5DD8" w:rsidRPr="0022335B" w:rsidRDefault="00FB5DD8" w:rsidP="00FB5DD8">
      <w:pPr>
        <w:numPr>
          <w:ilvl w:val="0"/>
          <w:numId w:val="1"/>
        </w:num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 xml:space="preserve">het </w:t>
      </w:r>
      <w:r w:rsidRPr="0022335B">
        <w:rPr>
          <w:rFonts w:ascii="Calibri" w:eastAsia="Calibri" w:hAnsi="Calibri" w:cs="Arial"/>
          <w:iCs/>
          <w:sz w:val="24"/>
          <w:u w:val="single"/>
          <w:lang w:eastAsia="nl-NL"/>
        </w:rPr>
        <w:t>teken</w:t>
      </w:r>
      <w:r w:rsidRPr="0022335B">
        <w:rPr>
          <w:rFonts w:ascii="Calibri" w:eastAsia="Calibri" w:hAnsi="Calibri" w:cs="Arial"/>
          <w:iCs/>
          <w:sz w:val="24"/>
          <w:lang w:eastAsia="nl-NL"/>
        </w:rPr>
        <w:t xml:space="preserve"> van de muur.</w:t>
      </w:r>
    </w:p>
    <w:p w:rsidR="00FB5DD8" w:rsidRPr="0022335B" w:rsidRDefault="00FB5DD8" w:rsidP="00FB5DD8">
      <w:pPr>
        <w:numPr>
          <w:ilvl w:val="0"/>
          <w:numId w:val="1"/>
        </w:num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 xml:space="preserve">het </w:t>
      </w:r>
      <w:r w:rsidRPr="0022335B">
        <w:rPr>
          <w:rFonts w:ascii="Calibri" w:eastAsia="Calibri" w:hAnsi="Calibri" w:cs="Arial"/>
          <w:iCs/>
          <w:sz w:val="24"/>
          <w:u w:val="single"/>
          <w:lang w:eastAsia="nl-NL"/>
        </w:rPr>
        <w:t>breken</w:t>
      </w:r>
      <w:r w:rsidRPr="0022335B">
        <w:rPr>
          <w:rFonts w:ascii="Calibri" w:eastAsia="Calibri" w:hAnsi="Calibri" w:cs="Arial"/>
          <w:iCs/>
          <w:sz w:val="24"/>
          <w:lang w:eastAsia="nl-NL"/>
        </w:rPr>
        <w:t xml:space="preserve"> van het verbod</w:t>
      </w:r>
    </w:p>
    <w:p w:rsidR="00FB5DD8" w:rsidRPr="0022335B" w:rsidRDefault="00FB5DD8" w:rsidP="00FB5DD8">
      <w:pPr>
        <w:numPr>
          <w:ilvl w:val="0"/>
          <w:numId w:val="1"/>
        </w:num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 xml:space="preserve">het zich </w:t>
      </w:r>
      <w:r w:rsidRPr="0022335B">
        <w:rPr>
          <w:rFonts w:ascii="Calibri" w:eastAsia="Calibri" w:hAnsi="Calibri" w:cs="Arial"/>
          <w:iCs/>
          <w:sz w:val="24"/>
          <w:u w:val="single"/>
          <w:lang w:eastAsia="nl-NL"/>
        </w:rPr>
        <w:t>wreken</w:t>
      </w:r>
      <w:r w:rsidRPr="0022335B">
        <w:rPr>
          <w:rFonts w:ascii="Calibri" w:eastAsia="Calibri" w:hAnsi="Calibri" w:cs="Arial"/>
          <w:iCs/>
          <w:sz w:val="24"/>
          <w:lang w:eastAsia="nl-NL"/>
        </w:rPr>
        <w:t xml:space="preserve"> van ongehoorzaamheid.</w:t>
      </w:r>
    </w:p>
    <w:p w:rsidR="00FB5DD8" w:rsidRPr="0022335B" w:rsidRDefault="00FB5DD8" w:rsidP="00FB5DD8">
      <w:pPr>
        <w:spacing w:after="0" w:line="240" w:lineRule="auto"/>
        <w:jc w:val="center"/>
        <w:rPr>
          <w:rFonts w:ascii="Calibri" w:eastAsia="Calibri" w:hAnsi="Calibri" w:cs="Arial"/>
          <w:b/>
          <w:iCs/>
          <w:sz w:val="28"/>
          <w:lang w:eastAsia="nl-NL"/>
        </w:rPr>
      </w:pPr>
    </w:p>
    <w:p w:rsidR="00FB5DD8" w:rsidRPr="0022335B" w:rsidRDefault="00FB5DD8" w:rsidP="00FB5DD8">
      <w:pPr>
        <w:spacing w:after="0" w:line="240" w:lineRule="auto"/>
        <w:jc w:val="center"/>
        <w:rPr>
          <w:rFonts w:ascii="Calibri" w:eastAsia="Calibri" w:hAnsi="Calibri" w:cs="Arial"/>
          <w:b/>
          <w:iCs/>
          <w:sz w:val="28"/>
          <w:lang w:eastAsia="nl-NL"/>
        </w:rPr>
      </w:pPr>
      <w:r w:rsidRPr="0022335B">
        <w:rPr>
          <w:rFonts w:ascii="Calibri" w:eastAsia="Calibri" w:hAnsi="Calibri" w:cs="Arial"/>
          <w:b/>
          <w:iCs/>
          <w:sz w:val="28"/>
          <w:lang w:eastAsia="nl-NL"/>
        </w:rPr>
        <w:t>HET TEKEN VAN DE MUUR</w:t>
      </w:r>
    </w:p>
    <w:p w:rsidR="00FB5DD8" w:rsidRPr="0022335B" w:rsidRDefault="00FB5DD8" w:rsidP="00FB5DD8">
      <w:pPr>
        <w:spacing w:after="0" w:line="240" w:lineRule="auto"/>
        <w:jc w:val="center"/>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r w:rsidRPr="0022335B">
        <w:rPr>
          <w:rFonts w:ascii="Calibri" w:eastAsia="Calibri" w:hAnsi="Calibri" w:cs="Arial"/>
          <w:b/>
          <w:i/>
          <w:iCs/>
          <w:sz w:val="24"/>
          <w:lang w:eastAsia="nl-NL"/>
        </w:rPr>
        <w:t>Voor elke dag één jaar boete</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Eindelijk is het zover. Voor straf hebben de Israëlieten vier decennia in de woestijn rondgetrokken. Veertig dagen hadden twaalf mannen het beloofde land verkend. Geïmponeerd door reusachtige mensen en met muren versterkte steden – maar vooral door gebrek aan geloof in God - durfden tien van hen – en vervolgens het hele volk – het gebied niet in bezit te nemen. Veertig jaar moesten ze wachten. Voor elke dag één jaar boete. Een nieuwe generatie, een nieuwe kans.</w:t>
      </w:r>
      <w:r w:rsidRPr="0022335B">
        <w:rPr>
          <w:rFonts w:ascii="Calibri" w:eastAsia="Calibri" w:hAnsi="Calibri" w:cs="Arial"/>
          <w:iCs/>
          <w:sz w:val="24"/>
          <w:vertAlign w:val="superscript"/>
          <w:lang w:eastAsia="nl-NL"/>
        </w:rPr>
        <w:footnoteReference w:id="2"/>
      </w:r>
    </w:p>
    <w:p w:rsidR="00FB5DD8" w:rsidRPr="0022335B" w:rsidRDefault="00FB5DD8" w:rsidP="00FB5DD8">
      <w:pPr>
        <w:spacing w:after="0" w:line="240" w:lineRule="auto"/>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r w:rsidRPr="0022335B">
        <w:rPr>
          <w:rFonts w:ascii="Calibri" w:eastAsia="Calibri" w:hAnsi="Calibri" w:cs="Arial"/>
          <w:b/>
          <w:i/>
          <w:iCs/>
          <w:sz w:val="24"/>
          <w:lang w:eastAsia="nl-NL"/>
        </w:rPr>
        <w:t>Dubbeldikke muren. Slechte inwoners. Doodsbenauwd</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Eerst komen ze bij Jericho: de deur naar Kanaän. “Jericho, Jericho, is een sterke stad, dat zie je zo.” Dubbeldikke muren. Daarachter slechte inwoners. Met afschuwelijke praktijken: offeren van kleine kinderen aan vuurgod Moloch. Wat God zijn volk meermalen nadrukkelijk verbood.</w:t>
      </w:r>
      <w:r w:rsidRPr="0022335B">
        <w:rPr>
          <w:rFonts w:ascii="Calibri" w:eastAsia="Calibri" w:hAnsi="Calibri" w:cs="Arial"/>
          <w:iCs/>
          <w:sz w:val="24"/>
          <w:vertAlign w:val="superscript"/>
          <w:lang w:eastAsia="nl-NL"/>
        </w:rPr>
        <w:footnoteReference w:id="3"/>
      </w:r>
      <w:r w:rsidRPr="0022335B">
        <w:rPr>
          <w:rFonts w:ascii="Calibri" w:eastAsia="Calibri" w:hAnsi="Calibri" w:cs="Arial"/>
          <w:iCs/>
          <w:sz w:val="24"/>
          <w:lang w:eastAsia="nl-NL"/>
        </w:rPr>
        <w:t xml:space="preserve"> </w:t>
      </w:r>
      <w:proofErr w:type="spellStart"/>
      <w:r w:rsidRPr="0022335B">
        <w:rPr>
          <w:rFonts w:ascii="Calibri" w:eastAsia="Calibri" w:hAnsi="Calibri" w:cs="Arial"/>
          <w:iCs/>
          <w:sz w:val="24"/>
          <w:lang w:eastAsia="nl-NL"/>
        </w:rPr>
        <w:t>Rachab</w:t>
      </w:r>
      <w:proofErr w:type="spellEnd"/>
      <w:r w:rsidRPr="0022335B">
        <w:rPr>
          <w:rFonts w:ascii="Calibri" w:eastAsia="Calibri" w:hAnsi="Calibri" w:cs="Arial"/>
          <w:iCs/>
          <w:sz w:val="24"/>
          <w:lang w:eastAsia="nl-NL"/>
        </w:rPr>
        <w:t xml:space="preserve">  de hoer ligt model voor de seksuele moraal. Dezelfde mensen zijn doodsbenauwd. Ze hebben gehoord over de tocht door de </w:t>
      </w:r>
      <w:proofErr w:type="spellStart"/>
      <w:r w:rsidRPr="0022335B">
        <w:rPr>
          <w:rFonts w:ascii="Calibri" w:eastAsia="Calibri" w:hAnsi="Calibri" w:cs="Arial"/>
          <w:iCs/>
          <w:sz w:val="24"/>
          <w:lang w:eastAsia="nl-NL"/>
        </w:rPr>
        <w:t>Rietzee</w:t>
      </w:r>
      <w:proofErr w:type="spellEnd"/>
      <w:r w:rsidRPr="0022335B">
        <w:rPr>
          <w:rFonts w:ascii="Calibri" w:eastAsia="Calibri" w:hAnsi="Calibri" w:cs="Arial"/>
          <w:iCs/>
          <w:sz w:val="24"/>
          <w:lang w:eastAsia="nl-NL"/>
        </w:rPr>
        <w:t xml:space="preserve">. En over </w:t>
      </w:r>
      <w:proofErr w:type="spellStart"/>
      <w:r w:rsidRPr="0022335B">
        <w:rPr>
          <w:rFonts w:ascii="Calibri" w:eastAsia="Calibri" w:hAnsi="Calibri" w:cs="Arial"/>
          <w:iCs/>
          <w:sz w:val="24"/>
          <w:lang w:eastAsia="nl-NL"/>
        </w:rPr>
        <w:t>Sichon</w:t>
      </w:r>
      <w:proofErr w:type="spellEnd"/>
      <w:r w:rsidRPr="0022335B">
        <w:rPr>
          <w:rFonts w:ascii="Calibri" w:eastAsia="Calibri" w:hAnsi="Calibri" w:cs="Arial"/>
          <w:iCs/>
          <w:sz w:val="24"/>
          <w:lang w:eastAsia="nl-NL"/>
        </w:rPr>
        <w:t xml:space="preserve"> en </w:t>
      </w:r>
      <w:proofErr w:type="spellStart"/>
      <w:r w:rsidRPr="0022335B">
        <w:rPr>
          <w:rFonts w:ascii="Calibri" w:eastAsia="Calibri" w:hAnsi="Calibri" w:cs="Arial"/>
          <w:iCs/>
          <w:sz w:val="24"/>
          <w:lang w:eastAsia="nl-NL"/>
        </w:rPr>
        <w:t>Og</w:t>
      </w:r>
      <w:proofErr w:type="spellEnd"/>
      <w:r w:rsidRPr="0022335B">
        <w:rPr>
          <w:rFonts w:ascii="Calibri" w:eastAsia="Calibri" w:hAnsi="Calibri" w:cs="Arial"/>
          <w:iCs/>
          <w:sz w:val="24"/>
          <w:lang w:eastAsia="nl-NL"/>
        </w:rPr>
        <w:t xml:space="preserve">, de </w:t>
      </w:r>
      <w:proofErr w:type="spellStart"/>
      <w:r w:rsidRPr="0022335B">
        <w:rPr>
          <w:rFonts w:ascii="Calibri" w:eastAsia="Calibri" w:hAnsi="Calibri" w:cs="Arial"/>
          <w:iCs/>
          <w:sz w:val="24"/>
          <w:lang w:eastAsia="nl-NL"/>
        </w:rPr>
        <w:t>Amoritische</w:t>
      </w:r>
      <w:proofErr w:type="spellEnd"/>
      <w:r w:rsidRPr="0022335B">
        <w:rPr>
          <w:rFonts w:ascii="Calibri" w:eastAsia="Calibri" w:hAnsi="Calibri" w:cs="Arial"/>
          <w:iCs/>
          <w:sz w:val="24"/>
          <w:lang w:eastAsia="nl-NL"/>
        </w:rPr>
        <w:t xml:space="preserve"> koningen die Israël heeft gedood.</w:t>
      </w:r>
      <w:r w:rsidRPr="0022335B">
        <w:rPr>
          <w:rFonts w:ascii="Calibri" w:eastAsia="Calibri" w:hAnsi="Calibri" w:cs="Arial"/>
          <w:iCs/>
          <w:sz w:val="24"/>
          <w:vertAlign w:val="superscript"/>
          <w:lang w:eastAsia="nl-NL"/>
        </w:rPr>
        <w:footnoteReference w:id="4"/>
      </w:r>
    </w:p>
    <w:p w:rsidR="00FB5DD8" w:rsidRPr="0022335B" w:rsidRDefault="00FB5DD8" w:rsidP="00FB5DD8">
      <w:pPr>
        <w:spacing w:after="0" w:line="240" w:lineRule="auto"/>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r w:rsidRPr="0022335B">
        <w:rPr>
          <w:rFonts w:ascii="Calibri" w:eastAsia="Calibri" w:hAnsi="Calibri" w:cs="Arial"/>
          <w:b/>
          <w:i/>
          <w:iCs/>
          <w:sz w:val="24"/>
          <w:lang w:eastAsia="nl-NL"/>
        </w:rPr>
        <w:t>Ze zullen er wel voor moeten knokken</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 xml:space="preserve">De Israëlieten komen eraan! Jericho sluit z’n poorten. Maar ze weten niet wat ze zien. Voorop lopen sterke soldaten. Daarachter mannen met lange witte gewaden. Zeven met een trompet waarop ze onophoudelijk blazen. Dan een aantal met een kist. En dan weer </w:t>
      </w:r>
      <w:r w:rsidRPr="0022335B">
        <w:rPr>
          <w:rFonts w:ascii="Calibri" w:eastAsia="Calibri" w:hAnsi="Calibri" w:cs="Arial"/>
          <w:iCs/>
          <w:sz w:val="24"/>
          <w:lang w:eastAsia="nl-NL"/>
        </w:rPr>
        <w:lastRenderedPageBreak/>
        <w:t>soldaten. Niks zeggende soldaten. Ze maken een rondje om de stad. En keren terug. En zo gaat het ook de volgende dag. Zes dagen achtereen. Belachelijk. Ze zullen er wel voor moeten knokken!</w:t>
      </w:r>
    </w:p>
    <w:p w:rsidR="00FB5DD8" w:rsidRPr="0022335B" w:rsidRDefault="00FB5DD8" w:rsidP="00FB5DD8">
      <w:pPr>
        <w:spacing w:after="0" w:line="240" w:lineRule="auto"/>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r w:rsidRPr="0022335B">
        <w:rPr>
          <w:rFonts w:ascii="Calibri" w:eastAsia="Calibri" w:hAnsi="Calibri" w:cs="Arial"/>
          <w:b/>
          <w:i/>
          <w:iCs/>
          <w:sz w:val="24"/>
          <w:lang w:eastAsia="nl-NL"/>
        </w:rPr>
        <w:t>Instorten, versplinteren, in de fik</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Op dag zeven wordt het anders. De stoet gaat niet terug naar het legerkamp. Ze maken nog een ronde. Nóg een, nóg een. Zevenmaal. En dan… Trompetten schallen. Soldaten schreeuwen. De zware muren schudden en storten in. De machtige poorten kraken en versplinteren. De Israëlieten lopen over de brokstukken. Er is geen ontkomen aan. Man, vrouw, kind, bejaarde, koe, schaap, ezel: alles en ieder vindt de dood. En de stad wordt in de fik gestoken.</w:t>
      </w:r>
    </w:p>
    <w:p w:rsidR="00FB5DD8" w:rsidRPr="0022335B" w:rsidRDefault="00FB5DD8" w:rsidP="00FB5DD8">
      <w:pPr>
        <w:spacing w:after="0" w:line="240" w:lineRule="auto"/>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r w:rsidRPr="0022335B">
        <w:rPr>
          <w:rFonts w:ascii="Calibri" w:eastAsia="Calibri" w:hAnsi="Calibri" w:cs="Arial"/>
          <w:b/>
          <w:i/>
          <w:iCs/>
          <w:sz w:val="24"/>
          <w:lang w:eastAsia="nl-NL"/>
        </w:rPr>
        <w:t xml:space="preserve">Geen </w:t>
      </w:r>
      <w:proofErr w:type="spellStart"/>
      <w:r w:rsidRPr="0022335B">
        <w:rPr>
          <w:rFonts w:ascii="Calibri" w:eastAsia="Calibri" w:hAnsi="Calibri" w:cs="Arial"/>
          <w:b/>
          <w:i/>
          <w:iCs/>
          <w:sz w:val="24"/>
          <w:lang w:eastAsia="nl-NL"/>
        </w:rPr>
        <w:t>license</w:t>
      </w:r>
      <w:proofErr w:type="spellEnd"/>
      <w:r w:rsidRPr="0022335B">
        <w:rPr>
          <w:rFonts w:ascii="Calibri" w:eastAsia="Calibri" w:hAnsi="Calibri" w:cs="Arial"/>
          <w:b/>
          <w:i/>
          <w:iCs/>
          <w:sz w:val="24"/>
          <w:lang w:eastAsia="nl-NL"/>
        </w:rPr>
        <w:t xml:space="preserve"> </w:t>
      </w:r>
      <w:proofErr w:type="spellStart"/>
      <w:r w:rsidRPr="0022335B">
        <w:rPr>
          <w:rFonts w:ascii="Calibri" w:eastAsia="Calibri" w:hAnsi="Calibri" w:cs="Arial"/>
          <w:b/>
          <w:i/>
          <w:iCs/>
          <w:sz w:val="24"/>
          <w:lang w:eastAsia="nl-NL"/>
        </w:rPr>
        <w:t>to</w:t>
      </w:r>
      <w:proofErr w:type="spellEnd"/>
      <w:r w:rsidRPr="0022335B">
        <w:rPr>
          <w:rFonts w:ascii="Calibri" w:eastAsia="Calibri" w:hAnsi="Calibri" w:cs="Arial"/>
          <w:b/>
          <w:i/>
          <w:iCs/>
          <w:sz w:val="24"/>
          <w:lang w:eastAsia="nl-NL"/>
        </w:rPr>
        <w:t xml:space="preserve"> </w:t>
      </w:r>
      <w:proofErr w:type="spellStart"/>
      <w:r w:rsidRPr="0022335B">
        <w:rPr>
          <w:rFonts w:ascii="Calibri" w:eastAsia="Calibri" w:hAnsi="Calibri" w:cs="Arial"/>
          <w:b/>
          <w:i/>
          <w:iCs/>
          <w:sz w:val="24"/>
          <w:lang w:eastAsia="nl-NL"/>
        </w:rPr>
        <w:t>kill</w:t>
      </w:r>
      <w:proofErr w:type="spellEnd"/>
      <w:r w:rsidRPr="0022335B">
        <w:rPr>
          <w:rFonts w:ascii="Calibri" w:eastAsia="Calibri" w:hAnsi="Calibri" w:cs="Arial"/>
          <w:b/>
          <w:i/>
          <w:iCs/>
          <w:sz w:val="24"/>
          <w:lang w:eastAsia="nl-NL"/>
        </w:rPr>
        <w:t xml:space="preserve"> maar een kwetsbare opstelling</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Hier moet ik even bij stilstaan. Geweld in de Bijbel? Een door God gelegitimeerde jihad? Enkele opmerkingen. Vergelijk wat hier gebeurt met de zondvloed</w:t>
      </w:r>
      <w:r w:rsidRPr="0022335B">
        <w:rPr>
          <w:rFonts w:ascii="Calibri" w:eastAsia="Calibri" w:hAnsi="Calibri" w:cs="Arial"/>
          <w:iCs/>
          <w:sz w:val="24"/>
          <w:vertAlign w:val="superscript"/>
          <w:lang w:eastAsia="nl-NL"/>
        </w:rPr>
        <w:footnoteReference w:id="5"/>
      </w:r>
      <w:r w:rsidRPr="0022335B">
        <w:rPr>
          <w:rFonts w:ascii="Calibri" w:eastAsia="Calibri" w:hAnsi="Calibri" w:cs="Arial"/>
          <w:iCs/>
          <w:sz w:val="24"/>
          <w:lang w:eastAsia="nl-NL"/>
        </w:rPr>
        <w:t xml:space="preserve">, Sodom en </w:t>
      </w:r>
      <w:proofErr w:type="spellStart"/>
      <w:r w:rsidRPr="0022335B">
        <w:rPr>
          <w:rFonts w:ascii="Calibri" w:eastAsia="Calibri" w:hAnsi="Calibri" w:cs="Arial"/>
          <w:iCs/>
          <w:sz w:val="24"/>
          <w:lang w:eastAsia="nl-NL"/>
        </w:rPr>
        <w:t>Gomorra</w:t>
      </w:r>
      <w:proofErr w:type="spellEnd"/>
      <w:r w:rsidRPr="0022335B">
        <w:rPr>
          <w:rFonts w:ascii="Calibri" w:eastAsia="Calibri" w:hAnsi="Calibri" w:cs="Arial"/>
          <w:iCs/>
          <w:sz w:val="24"/>
          <w:vertAlign w:val="superscript"/>
          <w:lang w:eastAsia="nl-NL"/>
        </w:rPr>
        <w:footnoteReference w:id="6"/>
      </w:r>
      <w:r w:rsidRPr="0022335B">
        <w:rPr>
          <w:rFonts w:ascii="Calibri" w:eastAsia="Calibri" w:hAnsi="Calibri" w:cs="Arial"/>
          <w:iCs/>
          <w:sz w:val="24"/>
          <w:lang w:eastAsia="nl-NL"/>
        </w:rPr>
        <w:t xml:space="preserve"> of ‘de dag van het oordeel’ als Jezus terugkomt.</w:t>
      </w:r>
      <w:r w:rsidRPr="0022335B">
        <w:rPr>
          <w:rFonts w:ascii="Calibri" w:eastAsia="Calibri" w:hAnsi="Calibri" w:cs="Arial"/>
          <w:iCs/>
          <w:sz w:val="24"/>
          <w:vertAlign w:val="superscript"/>
          <w:lang w:eastAsia="nl-NL"/>
        </w:rPr>
        <w:footnoteReference w:id="7"/>
      </w:r>
      <w:r w:rsidRPr="0022335B">
        <w:rPr>
          <w:rFonts w:ascii="Calibri" w:eastAsia="Calibri" w:hAnsi="Calibri" w:cs="Arial"/>
          <w:iCs/>
          <w:sz w:val="24"/>
          <w:lang w:eastAsia="nl-NL"/>
        </w:rPr>
        <w:t xml:space="preserve"> De maat van misdaden was vol.</w:t>
      </w:r>
      <w:r w:rsidRPr="0022335B">
        <w:rPr>
          <w:rFonts w:ascii="Calibri" w:eastAsia="Calibri" w:hAnsi="Calibri" w:cs="Arial"/>
          <w:iCs/>
          <w:sz w:val="24"/>
          <w:vertAlign w:val="superscript"/>
          <w:lang w:eastAsia="nl-NL"/>
        </w:rPr>
        <w:footnoteReference w:id="8"/>
      </w:r>
      <w:r w:rsidRPr="0022335B">
        <w:rPr>
          <w:rFonts w:ascii="Calibri" w:eastAsia="Calibri" w:hAnsi="Calibri" w:cs="Arial"/>
          <w:iCs/>
          <w:sz w:val="24"/>
          <w:lang w:eastAsia="nl-NL"/>
        </w:rPr>
        <w:t xml:space="preserve"> Israël had en christenen hebben geen algemene </w:t>
      </w:r>
      <w:proofErr w:type="spellStart"/>
      <w:r w:rsidRPr="0022335B">
        <w:rPr>
          <w:rFonts w:ascii="Calibri" w:eastAsia="Calibri" w:hAnsi="Calibri" w:cs="Arial"/>
          <w:iCs/>
          <w:sz w:val="24"/>
          <w:lang w:eastAsia="nl-NL"/>
        </w:rPr>
        <w:t>license</w:t>
      </w:r>
      <w:proofErr w:type="spellEnd"/>
      <w:r w:rsidRPr="0022335B">
        <w:rPr>
          <w:rFonts w:ascii="Calibri" w:eastAsia="Calibri" w:hAnsi="Calibri" w:cs="Arial"/>
          <w:iCs/>
          <w:sz w:val="24"/>
          <w:lang w:eastAsia="nl-NL"/>
        </w:rPr>
        <w:t xml:space="preserve"> </w:t>
      </w:r>
      <w:proofErr w:type="spellStart"/>
      <w:r w:rsidRPr="0022335B">
        <w:rPr>
          <w:rFonts w:ascii="Calibri" w:eastAsia="Calibri" w:hAnsi="Calibri" w:cs="Arial"/>
          <w:iCs/>
          <w:sz w:val="24"/>
          <w:lang w:eastAsia="nl-NL"/>
        </w:rPr>
        <w:t>to</w:t>
      </w:r>
      <w:proofErr w:type="spellEnd"/>
      <w:r w:rsidRPr="0022335B">
        <w:rPr>
          <w:rFonts w:ascii="Calibri" w:eastAsia="Calibri" w:hAnsi="Calibri" w:cs="Arial"/>
          <w:iCs/>
          <w:sz w:val="24"/>
          <w:lang w:eastAsia="nl-NL"/>
        </w:rPr>
        <w:t xml:space="preserve"> </w:t>
      </w:r>
      <w:proofErr w:type="spellStart"/>
      <w:r w:rsidRPr="0022335B">
        <w:rPr>
          <w:rFonts w:ascii="Calibri" w:eastAsia="Calibri" w:hAnsi="Calibri" w:cs="Arial"/>
          <w:iCs/>
          <w:sz w:val="24"/>
          <w:lang w:eastAsia="nl-NL"/>
        </w:rPr>
        <w:t>kill</w:t>
      </w:r>
      <w:proofErr w:type="spellEnd"/>
      <w:r w:rsidRPr="0022335B">
        <w:rPr>
          <w:rFonts w:ascii="Calibri" w:eastAsia="Calibri" w:hAnsi="Calibri" w:cs="Arial"/>
          <w:iCs/>
          <w:sz w:val="24"/>
          <w:lang w:eastAsia="nl-NL"/>
        </w:rPr>
        <w:t xml:space="preserve">; vrijbrief om </w:t>
      </w:r>
      <w:proofErr w:type="spellStart"/>
      <w:r w:rsidRPr="0022335B">
        <w:rPr>
          <w:rFonts w:ascii="Calibri" w:eastAsia="Calibri" w:hAnsi="Calibri" w:cs="Arial"/>
          <w:iCs/>
          <w:sz w:val="24"/>
          <w:lang w:eastAsia="nl-NL"/>
        </w:rPr>
        <w:t>andersreligieuzen</w:t>
      </w:r>
      <w:proofErr w:type="spellEnd"/>
      <w:r w:rsidRPr="0022335B">
        <w:rPr>
          <w:rFonts w:ascii="Calibri" w:eastAsia="Calibri" w:hAnsi="Calibri" w:cs="Arial"/>
          <w:iCs/>
          <w:sz w:val="24"/>
          <w:lang w:eastAsia="nl-NL"/>
        </w:rPr>
        <w:t xml:space="preserve"> de kop af te hakken. Het evangelie vergt een kwetsbare opstelling. De gekruisigde Jezus is daarvoor ons lichtend voorbeeld.</w:t>
      </w:r>
    </w:p>
    <w:p w:rsidR="00FB5DD8" w:rsidRPr="0022335B" w:rsidRDefault="00FB5DD8" w:rsidP="00FB5DD8">
      <w:pPr>
        <w:spacing w:after="0" w:line="240" w:lineRule="auto"/>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proofErr w:type="spellStart"/>
      <w:r w:rsidRPr="0022335B">
        <w:rPr>
          <w:rFonts w:ascii="Calibri" w:eastAsia="Calibri" w:hAnsi="Calibri" w:cs="Arial"/>
          <w:b/>
          <w:i/>
          <w:iCs/>
          <w:sz w:val="24"/>
          <w:lang w:eastAsia="nl-NL"/>
        </w:rPr>
        <w:t>Sola</w:t>
      </w:r>
      <w:proofErr w:type="spellEnd"/>
      <w:r w:rsidRPr="0022335B">
        <w:rPr>
          <w:rFonts w:ascii="Calibri" w:eastAsia="Calibri" w:hAnsi="Calibri" w:cs="Arial"/>
          <w:b/>
          <w:i/>
          <w:iCs/>
          <w:sz w:val="24"/>
          <w:lang w:eastAsia="nl-NL"/>
        </w:rPr>
        <w:t xml:space="preserve"> </w:t>
      </w:r>
      <w:proofErr w:type="spellStart"/>
      <w:r w:rsidRPr="0022335B">
        <w:rPr>
          <w:rFonts w:ascii="Calibri" w:eastAsia="Calibri" w:hAnsi="Calibri" w:cs="Arial"/>
          <w:b/>
          <w:i/>
          <w:iCs/>
          <w:sz w:val="24"/>
          <w:lang w:eastAsia="nl-NL"/>
        </w:rPr>
        <w:t>gratia</w:t>
      </w:r>
      <w:proofErr w:type="spellEnd"/>
      <w:r w:rsidRPr="0022335B">
        <w:rPr>
          <w:rFonts w:ascii="Calibri" w:eastAsia="Calibri" w:hAnsi="Calibri" w:cs="Arial"/>
          <w:b/>
          <w:i/>
          <w:iCs/>
          <w:sz w:val="24"/>
          <w:lang w:eastAsia="nl-NL"/>
        </w:rPr>
        <w:t xml:space="preserve">, </w:t>
      </w:r>
      <w:proofErr w:type="spellStart"/>
      <w:r w:rsidRPr="0022335B">
        <w:rPr>
          <w:rFonts w:ascii="Calibri" w:eastAsia="Calibri" w:hAnsi="Calibri" w:cs="Arial"/>
          <w:b/>
          <w:i/>
          <w:iCs/>
          <w:sz w:val="24"/>
          <w:lang w:eastAsia="nl-NL"/>
        </w:rPr>
        <w:t>sola</w:t>
      </w:r>
      <w:proofErr w:type="spellEnd"/>
      <w:r w:rsidRPr="0022335B">
        <w:rPr>
          <w:rFonts w:ascii="Calibri" w:eastAsia="Calibri" w:hAnsi="Calibri" w:cs="Arial"/>
          <w:b/>
          <w:i/>
          <w:iCs/>
          <w:sz w:val="24"/>
          <w:lang w:eastAsia="nl-NL"/>
        </w:rPr>
        <w:t xml:space="preserve"> </w:t>
      </w:r>
      <w:proofErr w:type="spellStart"/>
      <w:r w:rsidRPr="0022335B">
        <w:rPr>
          <w:rFonts w:ascii="Calibri" w:eastAsia="Calibri" w:hAnsi="Calibri" w:cs="Arial"/>
          <w:b/>
          <w:i/>
          <w:iCs/>
          <w:sz w:val="24"/>
          <w:lang w:eastAsia="nl-NL"/>
        </w:rPr>
        <w:t>fide</w:t>
      </w:r>
      <w:proofErr w:type="spellEnd"/>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 xml:space="preserve">Alles dóór God, alles vóór God. Het metaal wordt voor de HEER gereserveerd: zíjn oorlogsbuit. De muur moet blijven liggen. Als indrukwekkend teken: </w:t>
      </w:r>
      <w:proofErr w:type="spellStart"/>
      <w:r w:rsidRPr="0022335B">
        <w:rPr>
          <w:rFonts w:ascii="Calibri" w:eastAsia="Calibri" w:hAnsi="Calibri" w:cs="Arial"/>
          <w:iCs/>
          <w:sz w:val="24"/>
          <w:lang w:eastAsia="nl-NL"/>
        </w:rPr>
        <w:t>sola</w:t>
      </w:r>
      <w:proofErr w:type="spellEnd"/>
      <w:r w:rsidRPr="0022335B">
        <w:rPr>
          <w:rFonts w:ascii="Calibri" w:eastAsia="Calibri" w:hAnsi="Calibri" w:cs="Arial"/>
          <w:iCs/>
          <w:sz w:val="24"/>
          <w:lang w:eastAsia="nl-NL"/>
        </w:rPr>
        <w:t xml:space="preserve"> </w:t>
      </w:r>
      <w:proofErr w:type="spellStart"/>
      <w:r w:rsidRPr="0022335B">
        <w:rPr>
          <w:rFonts w:ascii="Calibri" w:eastAsia="Calibri" w:hAnsi="Calibri" w:cs="Arial"/>
          <w:iCs/>
          <w:sz w:val="24"/>
          <w:lang w:eastAsia="nl-NL"/>
        </w:rPr>
        <w:t>gratia</w:t>
      </w:r>
      <w:proofErr w:type="spellEnd"/>
      <w:r w:rsidRPr="0022335B">
        <w:rPr>
          <w:rFonts w:ascii="Calibri" w:eastAsia="Calibri" w:hAnsi="Calibri" w:cs="Arial"/>
          <w:iCs/>
          <w:sz w:val="24"/>
          <w:lang w:eastAsia="nl-NL"/>
        </w:rPr>
        <w:t>, genáde. Jericho viel maar soldaten hoefden er niks voor te doen. Hebreeën 11: “Door het gelóóf kon het volk door de Rode Zee trekken.” “Door dat gelóóf vielen de muren van Jericho.”</w:t>
      </w:r>
      <w:r w:rsidRPr="0022335B">
        <w:rPr>
          <w:rFonts w:ascii="Calibri" w:eastAsia="Calibri" w:hAnsi="Calibri" w:cs="Arial"/>
          <w:iCs/>
          <w:sz w:val="24"/>
          <w:vertAlign w:val="superscript"/>
          <w:lang w:eastAsia="nl-NL"/>
        </w:rPr>
        <w:footnoteReference w:id="9"/>
      </w:r>
      <w:r w:rsidRPr="0022335B">
        <w:rPr>
          <w:rFonts w:ascii="Calibri" w:eastAsia="Calibri" w:hAnsi="Calibri" w:cs="Arial"/>
          <w:iCs/>
          <w:sz w:val="24"/>
          <w:lang w:eastAsia="nl-NL"/>
        </w:rPr>
        <w:t xml:space="preserve"> </w:t>
      </w:r>
      <w:proofErr w:type="spellStart"/>
      <w:r w:rsidRPr="0022335B">
        <w:rPr>
          <w:rFonts w:ascii="Calibri" w:eastAsia="Calibri" w:hAnsi="Calibri" w:cs="Arial"/>
          <w:iCs/>
          <w:sz w:val="24"/>
          <w:lang w:eastAsia="nl-NL"/>
        </w:rPr>
        <w:t>Sola</w:t>
      </w:r>
      <w:proofErr w:type="spellEnd"/>
      <w:r w:rsidRPr="0022335B">
        <w:rPr>
          <w:rFonts w:ascii="Calibri" w:eastAsia="Calibri" w:hAnsi="Calibri" w:cs="Arial"/>
          <w:iCs/>
          <w:sz w:val="24"/>
          <w:lang w:eastAsia="nl-NL"/>
        </w:rPr>
        <w:t xml:space="preserve"> </w:t>
      </w:r>
      <w:proofErr w:type="spellStart"/>
      <w:r w:rsidRPr="0022335B">
        <w:rPr>
          <w:rFonts w:ascii="Calibri" w:eastAsia="Calibri" w:hAnsi="Calibri" w:cs="Arial"/>
          <w:iCs/>
          <w:sz w:val="24"/>
          <w:lang w:eastAsia="nl-NL"/>
        </w:rPr>
        <w:t>fide</w:t>
      </w:r>
      <w:proofErr w:type="spellEnd"/>
      <w:r w:rsidRPr="0022335B">
        <w:rPr>
          <w:rFonts w:ascii="Calibri" w:eastAsia="Calibri" w:hAnsi="Calibri" w:cs="Arial"/>
          <w:iCs/>
          <w:sz w:val="24"/>
          <w:lang w:eastAsia="nl-NL"/>
        </w:rPr>
        <w:t>. Ook wij hoeven de hemel op aarde niet zelf te realiseren. ‘Het hemels vaderland’</w:t>
      </w:r>
      <w:r w:rsidRPr="0022335B">
        <w:rPr>
          <w:rFonts w:ascii="Calibri" w:eastAsia="Calibri" w:hAnsi="Calibri" w:cs="Arial"/>
          <w:iCs/>
          <w:sz w:val="24"/>
          <w:vertAlign w:val="superscript"/>
          <w:lang w:eastAsia="nl-NL"/>
        </w:rPr>
        <w:footnoteReference w:id="10"/>
      </w:r>
      <w:r w:rsidRPr="0022335B">
        <w:rPr>
          <w:rFonts w:ascii="Calibri" w:eastAsia="Calibri" w:hAnsi="Calibri" w:cs="Arial"/>
          <w:iCs/>
          <w:sz w:val="24"/>
          <w:lang w:eastAsia="nl-NL"/>
        </w:rPr>
        <w:t xml:space="preserve"> wordt ontvángen. </w:t>
      </w:r>
    </w:p>
    <w:p w:rsidR="00FB5DD8" w:rsidRPr="0022335B" w:rsidRDefault="00FB5DD8" w:rsidP="00FB5DD8">
      <w:pPr>
        <w:spacing w:after="0" w:line="240" w:lineRule="auto"/>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r w:rsidRPr="0022335B">
        <w:rPr>
          <w:rFonts w:ascii="Calibri" w:eastAsia="Calibri" w:hAnsi="Calibri" w:cs="Arial"/>
          <w:b/>
          <w:i/>
          <w:iCs/>
          <w:sz w:val="24"/>
          <w:lang w:eastAsia="nl-NL"/>
        </w:rPr>
        <w:t>Waarschuwend maar veelbelovend</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 xml:space="preserve">Jericho als ruïne behelst een appél. Durf zwak te zijn. Hulpbehoevend. Van God. Ga niet zélf je bestaan veiligstellen. Militaire slagkracht, financieel vermogen, dichtgetimmerde regels bieden net zo veel en weinig veiligheid als </w:t>
      </w:r>
      <w:proofErr w:type="spellStart"/>
      <w:r w:rsidRPr="0022335B">
        <w:rPr>
          <w:rFonts w:ascii="Calibri" w:eastAsia="Calibri" w:hAnsi="Calibri" w:cs="Arial"/>
          <w:iCs/>
          <w:sz w:val="24"/>
          <w:lang w:eastAsia="nl-NL"/>
        </w:rPr>
        <w:t>Jericho’s</w:t>
      </w:r>
      <w:proofErr w:type="spellEnd"/>
      <w:r w:rsidRPr="0022335B">
        <w:rPr>
          <w:rFonts w:ascii="Calibri" w:eastAsia="Calibri" w:hAnsi="Calibri" w:cs="Arial"/>
          <w:iCs/>
          <w:sz w:val="24"/>
          <w:lang w:eastAsia="nl-NL"/>
        </w:rPr>
        <w:t xml:space="preserve"> vestingmuren. Dat geldt vooral wanneer je God buitensluit. Als jíj bepaalt wat je met je door God geschapen lichaam doet. Als ongeboren en voltooid geachte levens worden opgeofferd aan de afgod van zelfbeschikking. </w:t>
      </w:r>
      <w:proofErr w:type="spellStart"/>
      <w:r w:rsidRPr="0022335B">
        <w:rPr>
          <w:rFonts w:ascii="Calibri" w:eastAsia="Calibri" w:hAnsi="Calibri" w:cs="Arial"/>
          <w:iCs/>
          <w:sz w:val="24"/>
          <w:lang w:eastAsia="nl-NL"/>
        </w:rPr>
        <w:t>Jericho’s</w:t>
      </w:r>
      <w:proofErr w:type="spellEnd"/>
      <w:r w:rsidRPr="0022335B">
        <w:rPr>
          <w:rFonts w:ascii="Calibri" w:eastAsia="Calibri" w:hAnsi="Calibri" w:cs="Arial"/>
          <w:iCs/>
          <w:sz w:val="24"/>
          <w:lang w:eastAsia="nl-NL"/>
        </w:rPr>
        <w:t xml:space="preserve"> stenen spreken. Ze waarschuwen. Zijn tegelijk veelbelovend.</w:t>
      </w:r>
    </w:p>
    <w:p w:rsidR="00FB5DD8" w:rsidRPr="0022335B" w:rsidRDefault="00FB5DD8" w:rsidP="00FB5DD8">
      <w:pPr>
        <w:spacing w:after="0" w:line="240" w:lineRule="auto"/>
        <w:jc w:val="center"/>
        <w:rPr>
          <w:rFonts w:ascii="Calibri" w:eastAsia="Calibri" w:hAnsi="Calibri" w:cs="Arial"/>
          <w:b/>
          <w:iCs/>
          <w:sz w:val="28"/>
          <w:lang w:eastAsia="nl-NL"/>
        </w:rPr>
      </w:pPr>
    </w:p>
    <w:p w:rsidR="00FB5DD8" w:rsidRPr="0022335B" w:rsidRDefault="00FB5DD8" w:rsidP="00FB5DD8">
      <w:pPr>
        <w:spacing w:after="0" w:line="240" w:lineRule="auto"/>
        <w:jc w:val="center"/>
        <w:rPr>
          <w:rFonts w:ascii="Calibri" w:eastAsia="Calibri" w:hAnsi="Calibri" w:cs="Arial"/>
          <w:b/>
          <w:iCs/>
          <w:sz w:val="28"/>
          <w:lang w:eastAsia="nl-NL"/>
        </w:rPr>
      </w:pPr>
      <w:r w:rsidRPr="0022335B">
        <w:rPr>
          <w:rFonts w:ascii="Calibri" w:eastAsia="Calibri" w:hAnsi="Calibri" w:cs="Arial"/>
          <w:b/>
          <w:iCs/>
          <w:sz w:val="28"/>
          <w:lang w:eastAsia="nl-NL"/>
        </w:rPr>
        <w:t>HET BREKEN VAN HET VERBOD</w:t>
      </w:r>
    </w:p>
    <w:p w:rsidR="00FB5DD8" w:rsidRPr="0022335B" w:rsidRDefault="00FB5DD8" w:rsidP="00FB5DD8">
      <w:pPr>
        <w:spacing w:after="0" w:line="240" w:lineRule="auto"/>
        <w:jc w:val="center"/>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proofErr w:type="spellStart"/>
      <w:r w:rsidRPr="0022335B">
        <w:rPr>
          <w:rFonts w:ascii="Calibri" w:eastAsia="Calibri" w:hAnsi="Calibri" w:cs="Arial"/>
          <w:b/>
          <w:i/>
          <w:iCs/>
          <w:sz w:val="24"/>
          <w:lang w:eastAsia="nl-NL"/>
        </w:rPr>
        <w:t>Achab</w:t>
      </w:r>
      <w:proofErr w:type="spellEnd"/>
      <w:r w:rsidRPr="0022335B">
        <w:rPr>
          <w:rFonts w:ascii="Calibri" w:eastAsia="Calibri" w:hAnsi="Calibri" w:cs="Arial"/>
          <w:b/>
          <w:i/>
          <w:iCs/>
          <w:sz w:val="24"/>
          <w:lang w:eastAsia="nl-NL"/>
        </w:rPr>
        <w:t xml:space="preserve"> overtreedt het tweede en het eerste gebod</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 xml:space="preserve">We zijn vijfhonderd jaar verder. De tekst over </w:t>
      </w:r>
      <w:proofErr w:type="spellStart"/>
      <w:r w:rsidRPr="0022335B">
        <w:rPr>
          <w:rFonts w:ascii="Calibri" w:eastAsia="Calibri" w:hAnsi="Calibri" w:cs="Arial"/>
          <w:iCs/>
          <w:sz w:val="24"/>
          <w:lang w:eastAsia="nl-NL"/>
        </w:rPr>
        <w:t>Chiël</w:t>
      </w:r>
      <w:proofErr w:type="spellEnd"/>
      <w:r w:rsidRPr="0022335B">
        <w:rPr>
          <w:rFonts w:ascii="Calibri" w:eastAsia="Calibri" w:hAnsi="Calibri" w:cs="Arial"/>
          <w:iCs/>
          <w:sz w:val="24"/>
          <w:lang w:eastAsia="nl-NL"/>
        </w:rPr>
        <w:t xml:space="preserve">. Hoofdpersoon is evenwel koning </w:t>
      </w:r>
      <w:proofErr w:type="spellStart"/>
      <w:r w:rsidRPr="0022335B">
        <w:rPr>
          <w:rFonts w:ascii="Calibri" w:eastAsia="Calibri" w:hAnsi="Calibri" w:cs="Arial"/>
          <w:iCs/>
          <w:sz w:val="24"/>
          <w:lang w:eastAsia="nl-NL"/>
        </w:rPr>
        <w:t>Achab</w:t>
      </w:r>
      <w:proofErr w:type="spellEnd"/>
      <w:r w:rsidRPr="0022335B">
        <w:rPr>
          <w:rFonts w:ascii="Calibri" w:eastAsia="Calibri" w:hAnsi="Calibri" w:cs="Arial"/>
          <w:iCs/>
          <w:sz w:val="24"/>
          <w:lang w:eastAsia="nl-NL"/>
        </w:rPr>
        <w:t xml:space="preserve">. Over vader </w:t>
      </w:r>
      <w:proofErr w:type="spellStart"/>
      <w:r w:rsidRPr="0022335B">
        <w:rPr>
          <w:rFonts w:ascii="Calibri" w:eastAsia="Calibri" w:hAnsi="Calibri" w:cs="Arial"/>
          <w:iCs/>
          <w:sz w:val="24"/>
          <w:lang w:eastAsia="nl-NL"/>
        </w:rPr>
        <w:t>Omri</w:t>
      </w:r>
      <w:proofErr w:type="spellEnd"/>
      <w:r w:rsidRPr="0022335B">
        <w:rPr>
          <w:rFonts w:ascii="Calibri" w:eastAsia="Calibri" w:hAnsi="Calibri" w:cs="Arial"/>
          <w:iCs/>
          <w:sz w:val="24"/>
          <w:lang w:eastAsia="nl-NL"/>
        </w:rPr>
        <w:t xml:space="preserve"> staat eerder: “Zijn gedrag was nog erger dan dat van zijn voorgangers.”</w:t>
      </w:r>
      <w:r w:rsidRPr="0022335B">
        <w:rPr>
          <w:rFonts w:ascii="Calibri" w:eastAsia="Calibri" w:hAnsi="Calibri" w:cs="Arial"/>
          <w:iCs/>
          <w:sz w:val="24"/>
          <w:vertAlign w:val="superscript"/>
          <w:lang w:eastAsia="nl-NL"/>
        </w:rPr>
        <w:footnoteReference w:id="11"/>
      </w:r>
      <w:r w:rsidRPr="0022335B">
        <w:rPr>
          <w:rFonts w:ascii="Calibri" w:eastAsia="Calibri" w:hAnsi="Calibri" w:cs="Arial"/>
          <w:iCs/>
          <w:sz w:val="24"/>
          <w:lang w:eastAsia="nl-NL"/>
        </w:rPr>
        <w:t xml:space="preserve"> </w:t>
      </w:r>
      <w:proofErr w:type="spellStart"/>
      <w:r w:rsidRPr="0022335B">
        <w:rPr>
          <w:rFonts w:ascii="Calibri" w:eastAsia="Calibri" w:hAnsi="Calibri" w:cs="Arial"/>
          <w:iCs/>
          <w:sz w:val="24"/>
          <w:lang w:eastAsia="nl-NL"/>
        </w:rPr>
        <w:t>Achab</w:t>
      </w:r>
      <w:proofErr w:type="spellEnd"/>
      <w:r w:rsidRPr="0022335B">
        <w:rPr>
          <w:rFonts w:ascii="Calibri" w:eastAsia="Calibri" w:hAnsi="Calibri" w:cs="Arial"/>
          <w:iCs/>
          <w:sz w:val="24"/>
          <w:lang w:eastAsia="nl-NL"/>
        </w:rPr>
        <w:t xml:space="preserve"> doet er nóg een schep bovenop. ‘Het voorbeeld van </w:t>
      </w:r>
      <w:proofErr w:type="spellStart"/>
      <w:r w:rsidRPr="0022335B">
        <w:rPr>
          <w:rFonts w:ascii="Calibri" w:eastAsia="Calibri" w:hAnsi="Calibri" w:cs="Arial"/>
          <w:iCs/>
          <w:sz w:val="24"/>
          <w:lang w:eastAsia="nl-NL"/>
        </w:rPr>
        <w:t>Jerobeam</w:t>
      </w:r>
      <w:proofErr w:type="spellEnd"/>
      <w:r w:rsidRPr="0022335B">
        <w:rPr>
          <w:rFonts w:ascii="Calibri" w:eastAsia="Calibri" w:hAnsi="Calibri" w:cs="Arial"/>
          <w:iCs/>
          <w:sz w:val="24"/>
          <w:lang w:eastAsia="nl-NL"/>
        </w:rPr>
        <w:t xml:space="preserve">’ was één ding. Zonde </w:t>
      </w:r>
      <w:r w:rsidRPr="0022335B">
        <w:rPr>
          <w:rFonts w:ascii="Calibri" w:eastAsia="Calibri" w:hAnsi="Calibri" w:cs="Arial"/>
          <w:iCs/>
          <w:sz w:val="24"/>
          <w:lang w:eastAsia="nl-NL"/>
        </w:rPr>
        <w:lastRenderedPageBreak/>
        <w:t xml:space="preserve">tegen het tweede gebod: beeldendienst. Na koning Salomo ontstond een kerkscheuring: tweestammenrijk Juda werd afgesplitst van tienstammenrijk Israël. Jeruzalem lag binnen </w:t>
      </w:r>
      <w:proofErr w:type="spellStart"/>
      <w:r w:rsidRPr="0022335B">
        <w:rPr>
          <w:rFonts w:ascii="Calibri" w:eastAsia="Calibri" w:hAnsi="Calibri" w:cs="Arial"/>
          <w:iCs/>
          <w:sz w:val="24"/>
          <w:lang w:eastAsia="nl-NL"/>
        </w:rPr>
        <w:t>Judees</w:t>
      </w:r>
      <w:proofErr w:type="spellEnd"/>
      <w:r w:rsidRPr="0022335B">
        <w:rPr>
          <w:rFonts w:ascii="Calibri" w:eastAsia="Calibri" w:hAnsi="Calibri" w:cs="Arial"/>
          <w:iCs/>
          <w:sz w:val="24"/>
          <w:lang w:eastAsia="nl-NL"/>
        </w:rPr>
        <w:t xml:space="preserve"> gebied. Dus de Noordelingen werden </w:t>
      </w:r>
      <w:proofErr w:type="spellStart"/>
      <w:r w:rsidRPr="0022335B">
        <w:rPr>
          <w:rFonts w:ascii="Calibri" w:eastAsia="Calibri" w:hAnsi="Calibri" w:cs="Arial"/>
          <w:iCs/>
          <w:sz w:val="24"/>
          <w:lang w:eastAsia="nl-NL"/>
        </w:rPr>
        <w:t>buitenverbanders</w:t>
      </w:r>
      <w:proofErr w:type="spellEnd"/>
      <w:r w:rsidRPr="0022335B">
        <w:rPr>
          <w:rFonts w:ascii="Calibri" w:eastAsia="Calibri" w:hAnsi="Calibri" w:cs="Arial"/>
          <w:iCs/>
          <w:sz w:val="24"/>
          <w:lang w:eastAsia="nl-NL"/>
        </w:rPr>
        <w:t xml:space="preserve">. Van koning </w:t>
      </w:r>
      <w:proofErr w:type="spellStart"/>
      <w:r w:rsidRPr="0022335B">
        <w:rPr>
          <w:rFonts w:ascii="Calibri" w:eastAsia="Calibri" w:hAnsi="Calibri" w:cs="Arial"/>
          <w:iCs/>
          <w:sz w:val="24"/>
          <w:lang w:eastAsia="nl-NL"/>
        </w:rPr>
        <w:t>Jerobeam</w:t>
      </w:r>
      <w:proofErr w:type="spellEnd"/>
      <w:r w:rsidRPr="0022335B">
        <w:rPr>
          <w:rFonts w:ascii="Calibri" w:eastAsia="Calibri" w:hAnsi="Calibri" w:cs="Arial"/>
          <w:iCs/>
          <w:sz w:val="24"/>
          <w:lang w:eastAsia="nl-NL"/>
        </w:rPr>
        <w:t xml:space="preserve"> hoefden z’n onderdanen voor hun religieuze plichten niet naar concurrent </w:t>
      </w:r>
      <w:proofErr w:type="spellStart"/>
      <w:r w:rsidRPr="0022335B">
        <w:rPr>
          <w:rFonts w:ascii="Calibri" w:eastAsia="Calibri" w:hAnsi="Calibri" w:cs="Arial"/>
          <w:iCs/>
          <w:sz w:val="24"/>
          <w:lang w:eastAsia="nl-NL"/>
        </w:rPr>
        <w:t>Rechabeam</w:t>
      </w:r>
      <w:proofErr w:type="spellEnd"/>
      <w:r w:rsidRPr="0022335B">
        <w:rPr>
          <w:rFonts w:ascii="Calibri" w:eastAsia="Calibri" w:hAnsi="Calibri" w:cs="Arial"/>
          <w:iCs/>
          <w:sz w:val="24"/>
          <w:lang w:eastAsia="nl-NL"/>
        </w:rPr>
        <w:t xml:space="preserve">. Dus introduceerde hij twee gouden stieren: in het zuiden, in Betel – de latere woonplaats van </w:t>
      </w:r>
      <w:proofErr w:type="spellStart"/>
      <w:r w:rsidRPr="0022335B">
        <w:rPr>
          <w:rFonts w:ascii="Calibri" w:eastAsia="Calibri" w:hAnsi="Calibri" w:cs="Arial"/>
          <w:iCs/>
          <w:sz w:val="24"/>
          <w:lang w:eastAsia="nl-NL"/>
        </w:rPr>
        <w:t>Chiël</w:t>
      </w:r>
      <w:proofErr w:type="spellEnd"/>
      <w:r w:rsidRPr="0022335B">
        <w:rPr>
          <w:rFonts w:ascii="Calibri" w:eastAsia="Calibri" w:hAnsi="Calibri" w:cs="Arial"/>
          <w:iCs/>
          <w:sz w:val="24"/>
          <w:lang w:eastAsia="nl-NL"/>
        </w:rPr>
        <w:t>. En in Dan, in het Noorden.</w:t>
      </w:r>
      <w:r w:rsidRPr="0022335B">
        <w:rPr>
          <w:rFonts w:ascii="Calibri" w:eastAsia="Calibri" w:hAnsi="Calibri" w:cs="Arial"/>
          <w:iCs/>
          <w:sz w:val="24"/>
          <w:vertAlign w:val="superscript"/>
          <w:lang w:eastAsia="nl-NL"/>
        </w:rPr>
        <w:footnoteReference w:id="12"/>
      </w:r>
      <w:r w:rsidRPr="0022335B">
        <w:rPr>
          <w:rFonts w:ascii="Calibri" w:eastAsia="Calibri" w:hAnsi="Calibri" w:cs="Arial"/>
          <w:iCs/>
          <w:sz w:val="24"/>
          <w:lang w:eastAsia="nl-NL"/>
        </w:rPr>
        <w:t xml:space="preserve"> Alsof er in de woestijn niets gebeurd was…</w:t>
      </w:r>
      <w:r w:rsidRPr="0022335B">
        <w:rPr>
          <w:rFonts w:ascii="Calibri" w:eastAsia="Calibri" w:hAnsi="Calibri" w:cs="Arial"/>
          <w:iCs/>
          <w:sz w:val="24"/>
          <w:vertAlign w:val="superscript"/>
          <w:lang w:eastAsia="nl-NL"/>
        </w:rPr>
        <w:footnoteReference w:id="13"/>
      </w:r>
      <w:r w:rsidRPr="0022335B">
        <w:rPr>
          <w:rFonts w:ascii="Calibri" w:eastAsia="Calibri" w:hAnsi="Calibri" w:cs="Arial"/>
          <w:iCs/>
          <w:sz w:val="24"/>
          <w:lang w:eastAsia="nl-NL"/>
        </w:rPr>
        <w:t xml:space="preserve"> Bij </w:t>
      </w:r>
      <w:proofErr w:type="spellStart"/>
      <w:r w:rsidRPr="0022335B">
        <w:rPr>
          <w:rFonts w:ascii="Calibri" w:eastAsia="Calibri" w:hAnsi="Calibri" w:cs="Arial"/>
          <w:iCs/>
          <w:sz w:val="24"/>
          <w:lang w:eastAsia="nl-NL"/>
        </w:rPr>
        <w:t>Achab</w:t>
      </w:r>
      <w:proofErr w:type="spellEnd"/>
      <w:r w:rsidRPr="0022335B">
        <w:rPr>
          <w:rFonts w:ascii="Calibri" w:eastAsia="Calibri" w:hAnsi="Calibri" w:cs="Arial"/>
          <w:iCs/>
          <w:sz w:val="24"/>
          <w:lang w:eastAsia="nl-NL"/>
        </w:rPr>
        <w:t xml:space="preserve"> komt er iets bij: hij trouwt met prinses Izebel van Sidon. Wat leidt tot zonde tegen het eerste gebod. Een tempel voor Baäl, een paal voor </w:t>
      </w:r>
      <w:proofErr w:type="spellStart"/>
      <w:r w:rsidRPr="0022335B">
        <w:rPr>
          <w:rFonts w:ascii="Calibri" w:eastAsia="Calibri" w:hAnsi="Calibri" w:cs="Arial"/>
          <w:iCs/>
          <w:sz w:val="24"/>
          <w:lang w:eastAsia="nl-NL"/>
        </w:rPr>
        <w:t>Asjera</w:t>
      </w:r>
      <w:proofErr w:type="spellEnd"/>
      <w:r w:rsidRPr="0022335B">
        <w:rPr>
          <w:rFonts w:ascii="Calibri" w:eastAsia="Calibri" w:hAnsi="Calibri" w:cs="Arial"/>
          <w:iCs/>
          <w:sz w:val="24"/>
          <w:lang w:eastAsia="nl-NL"/>
        </w:rPr>
        <w:t>. Verafgoding van welvaart en seks.</w:t>
      </w:r>
    </w:p>
    <w:p w:rsidR="00FB5DD8" w:rsidRPr="0022335B" w:rsidRDefault="00FB5DD8" w:rsidP="00FB5DD8">
      <w:pPr>
        <w:spacing w:after="0" w:line="240" w:lineRule="auto"/>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r w:rsidRPr="0022335B">
        <w:rPr>
          <w:rFonts w:ascii="Calibri" w:eastAsia="Calibri" w:hAnsi="Calibri" w:cs="Arial"/>
          <w:b/>
          <w:i/>
          <w:iCs/>
          <w:sz w:val="24"/>
          <w:lang w:eastAsia="nl-NL"/>
        </w:rPr>
        <w:t>Een onbeschermde grensstad kan hij zich niet permitteren</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 xml:space="preserve">Koning </w:t>
      </w:r>
      <w:proofErr w:type="spellStart"/>
      <w:r w:rsidRPr="0022335B">
        <w:rPr>
          <w:rFonts w:ascii="Calibri" w:eastAsia="Calibri" w:hAnsi="Calibri" w:cs="Arial"/>
          <w:iCs/>
          <w:sz w:val="24"/>
          <w:lang w:eastAsia="nl-NL"/>
        </w:rPr>
        <w:t>Achab</w:t>
      </w:r>
      <w:proofErr w:type="spellEnd"/>
      <w:r w:rsidRPr="0022335B">
        <w:rPr>
          <w:rFonts w:ascii="Calibri" w:eastAsia="Calibri" w:hAnsi="Calibri" w:cs="Arial"/>
          <w:iCs/>
          <w:sz w:val="24"/>
          <w:lang w:eastAsia="nl-NL"/>
        </w:rPr>
        <w:t xml:space="preserve"> moet </w:t>
      </w:r>
      <w:proofErr w:type="spellStart"/>
      <w:r w:rsidRPr="0022335B">
        <w:rPr>
          <w:rFonts w:ascii="Calibri" w:eastAsia="Calibri" w:hAnsi="Calibri" w:cs="Arial"/>
          <w:iCs/>
          <w:sz w:val="24"/>
          <w:lang w:eastAsia="nl-NL"/>
        </w:rPr>
        <w:t>zonodig</w:t>
      </w:r>
      <w:proofErr w:type="spellEnd"/>
      <w:r w:rsidRPr="0022335B">
        <w:rPr>
          <w:rFonts w:ascii="Calibri" w:eastAsia="Calibri" w:hAnsi="Calibri" w:cs="Arial"/>
          <w:iCs/>
          <w:sz w:val="24"/>
          <w:lang w:eastAsia="nl-NL"/>
        </w:rPr>
        <w:t xml:space="preserve"> de grenzen van zijn rijk versterken. Daar is z’n vader al mee begonnen.</w:t>
      </w:r>
      <w:r w:rsidRPr="0022335B">
        <w:rPr>
          <w:rFonts w:ascii="Calibri" w:eastAsia="Calibri" w:hAnsi="Calibri" w:cs="Arial"/>
          <w:iCs/>
          <w:sz w:val="24"/>
          <w:vertAlign w:val="superscript"/>
          <w:lang w:eastAsia="nl-NL"/>
        </w:rPr>
        <w:footnoteReference w:id="14"/>
      </w:r>
      <w:r w:rsidRPr="0022335B">
        <w:rPr>
          <w:rFonts w:ascii="Calibri" w:eastAsia="Calibri" w:hAnsi="Calibri" w:cs="Arial"/>
          <w:iCs/>
          <w:sz w:val="24"/>
          <w:lang w:eastAsia="nl-NL"/>
        </w:rPr>
        <w:t xml:space="preserve"> </w:t>
      </w:r>
      <w:proofErr w:type="spellStart"/>
      <w:r w:rsidRPr="0022335B">
        <w:rPr>
          <w:rFonts w:ascii="Calibri" w:eastAsia="Calibri" w:hAnsi="Calibri" w:cs="Arial"/>
          <w:iCs/>
          <w:sz w:val="24"/>
          <w:lang w:eastAsia="nl-NL"/>
        </w:rPr>
        <w:t>Achab</w:t>
      </w:r>
      <w:proofErr w:type="spellEnd"/>
      <w:r w:rsidRPr="0022335B">
        <w:rPr>
          <w:rFonts w:ascii="Calibri" w:eastAsia="Calibri" w:hAnsi="Calibri" w:cs="Arial"/>
          <w:iCs/>
          <w:sz w:val="24"/>
          <w:lang w:eastAsia="nl-NL"/>
        </w:rPr>
        <w:t xml:space="preserve"> voelt zich bedreigd door de Moabieten in het zuidoosten. Die zijn in de tijd van de Rechters ook al eens de Jordaan overgestoken om het land binnen te vallen.</w:t>
      </w:r>
      <w:r w:rsidRPr="0022335B">
        <w:rPr>
          <w:rFonts w:ascii="Calibri" w:eastAsia="Calibri" w:hAnsi="Calibri" w:cs="Arial"/>
          <w:iCs/>
          <w:sz w:val="24"/>
          <w:vertAlign w:val="superscript"/>
          <w:lang w:eastAsia="nl-NL"/>
        </w:rPr>
        <w:footnoteReference w:id="15"/>
      </w:r>
      <w:r w:rsidRPr="0022335B">
        <w:rPr>
          <w:rFonts w:ascii="Calibri" w:eastAsia="Calibri" w:hAnsi="Calibri" w:cs="Arial"/>
          <w:iCs/>
          <w:sz w:val="24"/>
          <w:lang w:eastAsia="nl-NL"/>
        </w:rPr>
        <w:t xml:space="preserve"> En nu is de </w:t>
      </w:r>
      <w:proofErr w:type="spellStart"/>
      <w:r w:rsidRPr="0022335B">
        <w:rPr>
          <w:rFonts w:ascii="Calibri" w:eastAsia="Calibri" w:hAnsi="Calibri" w:cs="Arial"/>
          <w:iCs/>
          <w:sz w:val="24"/>
          <w:lang w:eastAsia="nl-NL"/>
        </w:rPr>
        <w:t>Moabitische</w:t>
      </w:r>
      <w:proofErr w:type="spellEnd"/>
      <w:r w:rsidRPr="0022335B">
        <w:rPr>
          <w:rFonts w:ascii="Calibri" w:eastAsia="Calibri" w:hAnsi="Calibri" w:cs="Arial"/>
          <w:iCs/>
          <w:sz w:val="24"/>
          <w:lang w:eastAsia="nl-NL"/>
        </w:rPr>
        <w:t xml:space="preserve"> koning Mesa – zo weten we uit </w:t>
      </w:r>
      <w:proofErr w:type="spellStart"/>
      <w:r w:rsidRPr="0022335B">
        <w:rPr>
          <w:rFonts w:ascii="Calibri" w:eastAsia="Calibri" w:hAnsi="Calibri" w:cs="Arial"/>
          <w:iCs/>
          <w:sz w:val="24"/>
          <w:lang w:eastAsia="nl-NL"/>
        </w:rPr>
        <w:t>buitenbijbelse</w:t>
      </w:r>
      <w:proofErr w:type="spellEnd"/>
      <w:r w:rsidRPr="0022335B">
        <w:rPr>
          <w:rFonts w:ascii="Calibri" w:eastAsia="Calibri" w:hAnsi="Calibri" w:cs="Arial"/>
          <w:iCs/>
          <w:sz w:val="24"/>
          <w:lang w:eastAsia="nl-NL"/>
        </w:rPr>
        <w:t xml:space="preserve"> bron – de vernederingen door </w:t>
      </w:r>
      <w:proofErr w:type="spellStart"/>
      <w:r w:rsidRPr="0022335B">
        <w:rPr>
          <w:rFonts w:ascii="Calibri" w:eastAsia="Calibri" w:hAnsi="Calibri" w:cs="Arial"/>
          <w:iCs/>
          <w:sz w:val="24"/>
          <w:lang w:eastAsia="nl-NL"/>
        </w:rPr>
        <w:t>Omri</w:t>
      </w:r>
      <w:proofErr w:type="spellEnd"/>
      <w:r w:rsidRPr="0022335B">
        <w:rPr>
          <w:rFonts w:ascii="Calibri" w:eastAsia="Calibri" w:hAnsi="Calibri" w:cs="Arial"/>
          <w:iCs/>
          <w:sz w:val="24"/>
          <w:lang w:eastAsia="nl-NL"/>
        </w:rPr>
        <w:t xml:space="preserve"> en </w:t>
      </w:r>
      <w:proofErr w:type="spellStart"/>
      <w:r w:rsidRPr="0022335B">
        <w:rPr>
          <w:rFonts w:ascii="Calibri" w:eastAsia="Calibri" w:hAnsi="Calibri" w:cs="Arial"/>
          <w:iCs/>
          <w:sz w:val="24"/>
          <w:lang w:eastAsia="nl-NL"/>
        </w:rPr>
        <w:t>Achab</w:t>
      </w:r>
      <w:proofErr w:type="spellEnd"/>
      <w:r w:rsidRPr="0022335B">
        <w:rPr>
          <w:rFonts w:ascii="Calibri" w:eastAsia="Calibri" w:hAnsi="Calibri" w:cs="Arial"/>
          <w:iCs/>
          <w:sz w:val="24"/>
          <w:lang w:eastAsia="nl-NL"/>
        </w:rPr>
        <w:t xml:space="preserve"> helemaal beu.</w:t>
      </w:r>
      <w:r w:rsidRPr="0022335B">
        <w:rPr>
          <w:rFonts w:ascii="Calibri" w:eastAsia="Calibri" w:hAnsi="Calibri" w:cs="Arial"/>
          <w:iCs/>
          <w:sz w:val="24"/>
          <w:vertAlign w:val="superscript"/>
          <w:lang w:eastAsia="nl-NL"/>
        </w:rPr>
        <w:footnoteReference w:id="16"/>
      </w:r>
      <w:r w:rsidRPr="0022335B">
        <w:rPr>
          <w:rFonts w:ascii="Calibri" w:eastAsia="Calibri" w:hAnsi="Calibri" w:cs="Arial"/>
          <w:iCs/>
          <w:sz w:val="24"/>
          <w:lang w:eastAsia="nl-NL"/>
        </w:rPr>
        <w:t xml:space="preserve"> (Na het aftreden van </w:t>
      </w:r>
      <w:proofErr w:type="spellStart"/>
      <w:r w:rsidRPr="0022335B">
        <w:rPr>
          <w:rFonts w:ascii="Calibri" w:eastAsia="Calibri" w:hAnsi="Calibri" w:cs="Arial"/>
          <w:iCs/>
          <w:sz w:val="24"/>
          <w:lang w:eastAsia="nl-NL"/>
        </w:rPr>
        <w:t>Achab</w:t>
      </w:r>
      <w:proofErr w:type="spellEnd"/>
      <w:r w:rsidRPr="0022335B">
        <w:rPr>
          <w:rFonts w:ascii="Calibri" w:eastAsia="Calibri" w:hAnsi="Calibri" w:cs="Arial"/>
          <w:iCs/>
          <w:sz w:val="24"/>
          <w:lang w:eastAsia="nl-NL"/>
        </w:rPr>
        <w:t xml:space="preserve"> komt er ook werkelijk oorlog van.</w:t>
      </w:r>
      <w:r w:rsidRPr="0022335B">
        <w:rPr>
          <w:rFonts w:ascii="Calibri" w:eastAsia="Calibri" w:hAnsi="Calibri" w:cs="Arial"/>
          <w:iCs/>
          <w:sz w:val="24"/>
          <w:vertAlign w:val="superscript"/>
          <w:lang w:eastAsia="nl-NL"/>
        </w:rPr>
        <w:footnoteReference w:id="17"/>
      </w:r>
      <w:r w:rsidRPr="0022335B">
        <w:rPr>
          <w:rFonts w:ascii="Calibri" w:eastAsia="Calibri" w:hAnsi="Calibri" w:cs="Arial"/>
          <w:iCs/>
          <w:sz w:val="24"/>
          <w:lang w:eastAsia="nl-NL"/>
        </w:rPr>
        <w:t xml:space="preserve">) Bloedlink in deze situatie lijkt </w:t>
      </w:r>
      <w:proofErr w:type="spellStart"/>
      <w:r w:rsidRPr="0022335B">
        <w:rPr>
          <w:rFonts w:ascii="Calibri" w:eastAsia="Calibri" w:hAnsi="Calibri" w:cs="Arial"/>
          <w:iCs/>
          <w:sz w:val="24"/>
          <w:lang w:eastAsia="nl-NL"/>
        </w:rPr>
        <w:t>Achab</w:t>
      </w:r>
      <w:proofErr w:type="spellEnd"/>
      <w:r w:rsidRPr="0022335B">
        <w:rPr>
          <w:rFonts w:ascii="Calibri" w:eastAsia="Calibri" w:hAnsi="Calibri" w:cs="Arial"/>
          <w:iCs/>
          <w:sz w:val="24"/>
          <w:lang w:eastAsia="nl-NL"/>
        </w:rPr>
        <w:t xml:space="preserve"> de toestand van Jericho, de stad die allang weer bewoond maar nog altijd zonder muren is. Een onbeschermde grensstad. Dat kan hij zich natuurlijk absoluut niet permitteren. Dus hij besluit </w:t>
      </w:r>
      <w:proofErr w:type="spellStart"/>
      <w:r w:rsidRPr="0022335B">
        <w:rPr>
          <w:rFonts w:ascii="Calibri" w:eastAsia="Calibri" w:hAnsi="Calibri" w:cs="Arial"/>
          <w:iCs/>
          <w:sz w:val="24"/>
          <w:lang w:eastAsia="nl-NL"/>
        </w:rPr>
        <w:t>Chiël</w:t>
      </w:r>
      <w:proofErr w:type="spellEnd"/>
      <w:r w:rsidRPr="0022335B">
        <w:rPr>
          <w:rFonts w:ascii="Calibri" w:eastAsia="Calibri" w:hAnsi="Calibri" w:cs="Arial"/>
          <w:iCs/>
          <w:sz w:val="24"/>
          <w:lang w:eastAsia="nl-NL"/>
        </w:rPr>
        <w:t>, architect en aannemer, de opdracht te geven om de stad – die oorspronkelijk op het grondgebied van Benjamin lag en dus bij het Zuiden hoorde</w:t>
      </w:r>
      <w:r w:rsidRPr="0022335B">
        <w:rPr>
          <w:rFonts w:ascii="Calibri" w:eastAsia="Calibri" w:hAnsi="Calibri" w:cs="Arial"/>
          <w:iCs/>
          <w:sz w:val="24"/>
          <w:vertAlign w:val="superscript"/>
          <w:lang w:eastAsia="nl-NL"/>
        </w:rPr>
        <w:footnoteReference w:id="18"/>
      </w:r>
      <w:r w:rsidRPr="0022335B">
        <w:rPr>
          <w:rFonts w:ascii="Calibri" w:eastAsia="Calibri" w:hAnsi="Calibri" w:cs="Arial"/>
          <w:iCs/>
          <w:sz w:val="24"/>
          <w:lang w:eastAsia="nl-NL"/>
        </w:rPr>
        <w:t xml:space="preserve"> maar later kennelijk in Israël ligt – opnieuw te ommuren. </w:t>
      </w:r>
    </w:p>
    <w:p w:rsidR="00FB5DD8" w:rsidRPr="0022335B" w:rsidRDefault="00FB5DD8" w:rsidP="00FB5DD8">
      <w:pPr>
        <w:spacing w:after="0" w:line="240" w:lineRule="auto"/>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r w:rsidRPr="0022335B">
        <w:rPr>
          <w:rFonts w:ascii="Calibri" w:eastAsia="Calibri" w:hAnsi="Calibri" w:cs="Arial"/>
          <w:b/>
          <w:i/>
          <w:iCs/>
          <w:sz w:val="24"/>
          <w:lang w:eastAsia="nl-NL"/>
        </w:rPr>
        <w:t>Als je niet alles op één kaart zet, moet je het zélf zien te maken</w:t>
      </w:r>
    </w:p>
    <w:p w:rsidR="00FB5DD8" w:rsidRPr="0022335B" w:rsidRDefault="00FB5DD8" w:rsidP="00FB5DD8">
      <w:pPr>
        <w:spacing w:after="0" w:line="240" w:lineRule="auto"/>
        <w:rPr>
          <w:rFonts w:ascii="Calibri" w:eastAsia="Calibri" w:hAnsi="Calibri" w:cs="Arial"/>
          <w:iCs/>
          <w:sz w:val="24"/>
          <w:lang w:eastAsia="nl-NL"/>
        </w:rPr>
      </w:pPr>
      <w:proofErr w:type="spellStart"/>
      <w:r w:rsidRPr="0022335B">
        <w:rPr>
          <w:rFonts w:ascii="Calibri" w:eastAsia="Calibri" w:hAnsi="Calibri" w:cs="Arial"/>
          <w:iCs/>
          <w:sz w:val="24"/>
          <w:lang w:eastAsia="nl-NL"/>
        </w:rPr>
        <w:t>Achab</w:t>
      </w:r>
      <w:proofErr w:type="spellEnd"/>
      <w:r w:rsidRPr="0022335B">
        <w:rPr>
          <w:rFonts w:ascii="Calibri" w:eastAsia="Calibri" w:hAnsi="Calibri" w:cs="Arial"/>
          <w:iCs/>
          <w:sz w:val="24"/>
          <w:lang w:eastAsia="nl-NL"/>
        </w:rPr>
        <w:t xml:space="preserve"> verbreekt Gods verbod dat meekwam met de eed van Jozua: “Wij vervloeken ten overstaan van de HEER iedere man die het waagt deze stad, Jericho, weer op te bouwen.” Hij schendt Gods oorlogsmonument. Daar heeft hij geopolitiéke redenen voor. Maar de achtergrond is vooral gééstelijk, eigenlijk: ón-geestelijk. </w:t>
      </w:r>
      <w:proofErr w:type="spellStart"/>
      <w:r w:rsidRPr="0022335B">
        <w:rPr>
          <w:rFonts w:ascii="Calibri" w:eastAsia="Calibri" w:hAnsi="Calibri" w:cs="Arial"/>
          <w:iCs/>
          <w:sz w:val="24"/>
          <w:lang w:eastAsia="nl-NL"/>
        </w:rPr>
        <w:t>Achab</w:t>
      </w:r>
      <w:proofErr w:type="spellEnd"/>
      <w:r w:rsidRPr="0022335B">
        <w:rPr>
          <w:rFonts w:ascii="Calibri" w:eastAsia="Calibri" w:hAnsi="Calibri" w:cs="Arial"/>
          <w:iCs/>
          <w:sz w:val="24"/>
          <w:lang w:eastAsia="nl-NL"/>
        </w:rPr>
        <w:t xml:space="preserve"> zegt niet: ik heb God verlaten. De namen van zijn kinderen verwijzen naar Jahweh: </w:t>
      </w:r>
      <w:proofErr w:type="spellStart"/>
      <w:r w:rsidRPr="0022335B">
        <w:rPr>
          <w:rFonts w:ascii="Calibri" w:eastAsia="Calibri" w:hAnsi="Calibri" w:cs="Arial"/>
          <w:iCs/>
          <w:sz w:val="24"/>
          <w:lang w:eastAsia="nl-NL"/>
        </w:rPr>
        <w:t>Achaz</w:t>
      </w:r>
      <w:proofErr w:type="spellEnd"/>
      <w:r w:rsidRPr="0022335B">
        <w:rPr>
          <w:rFonts w:ascii="Calibri" w:eastAsia="Calibri" w:hAnsi="Calibri" w:cs="Arial"/>
          <w:iCs/>
          <w:sz w:val="24"/>
          <w:lang w:eastAsia="nl-NL"/>
        </w:rPr>
        <w:t>-já,</w:t>
      </w:r>
      <w:r w:rsidRPr="0022335B">
        <w:rPr>
          <w:rFonts w:ascii="Calibri" w:eastAsia="Calibri" w:hAnsi="Calibri" w:cs="Arial"/>
          <w:iCs/>
          <w:sz w:val="24"/>
          <w:vertAlign w:val="superscript"/>
          <w:lang w:eastAsia="nl-NL"/>
        </w:rPr>
        <w:footnoteReference w:id="19"/>
      </w:r>
      <w:r w:rsidRPr="0022335B">
        <w:rPr>
          <w:rFonts w:ascii="Calibri" w:eastAsia="Calibri" w:hAnsi="Calibri" w:cs="Arial"/>
          <w:iCs/>
          <w:sz w:val="24"/>
          <w:lang w:eastAsia="nl-NL"/>
        </w:rPr>
        <w:t xml:space="preserve"> </w:t>
      </w:r>
      <w:proofErr w:type="spellStart"/>
      <w:r w:rsidRPr="0022335B">
        <w:rPr>
          <w:rFonts w:ascii="Calibri" w:eastAsia="Calibri" w:hAnsi="Calibri" w:cs="Arial"/>
          <w:iCs/>
          <w:sz w:val="24"/>
          <w:lang w:eastAsia="nl-NL"/>
        </w:rPr>
        <w:t>Jo-ram</w:t>
      </w:r>
      <w:proofErr w:type="spellEnd"/>
      <w:r w:rsidRPr="0022335B">
        <w:rPr>
          <w:rFonts w:ascii="Calibri" w:eastAsia="Calibri" w:hAnsi="Calibri" w:cs="Arial"/>
          <w:iCs/>
          <w:sz w:val="24"/>
          <w:vertAlign w:val="superscript"/>
          <w:lang w:eastAsia="nl-NL"/>
        </w:rPr>
        <w:footnoteReference w:id="20"/>
      </w:r>
      <w:r w:rsidRPr="0022335B">
        <w:rPr>
          <w:rFonts w:ascii="Calibri" w:eastAsia="Calibri" w:hAnsi="Calibri" w:cs="Arial"/>
          <w:iCs/>
          <w:sz w:val="24"/>
          <w:lang w:eastAsia="nl-NL"/>
        </w:rPr>
        <w:t>, Atal-ja.</w:t>
      </w:r>
      <w:r w:rsidRPr="0022335B">
        <w:rPr>
          <w:rFonts w:ascii="Calibri" w:eastAsia="Calibri" w:hAnsi="Calibri" w:cs="Arial"/>
          <w:iCs/>
          <w:sz w:val="24"/>
          <w:vertAlign w:val="superscript"/>
          <w:lang w:eastAsia="nl-NL"/>
        </w:rPr>
        <w:footnoteReference w:id="21"/>
      </w:r>
      <w:r w:rsidRPr="0022335B">
        <w:rPr>
          <w:rFonts w:ascii="Calibri" w:eastAsia="Calibri" w:hAnsi="Calibri" w:cs="Arial"/>
          <w:iCs/>
          <w:sz w:val="24"/>
          <w:lang w:eastAsia="nl-NL"/>
        </w:rPr>
        <w:t xml:space="preserve"> Maar, behalve dat Hij de HEER eigenwijs vereert, heeft God ook niet over alles iets te zeggen. </w:t>
      </w:r>
      <w:proofErr w:type="spellStart"/>
      <w:r w:rsidRPr="0022335B">
        <w:rPr>
          <w:rFonts w:ascii="Calibri" w:eastAsia="Calibri" w:hAnsi="Calibri" w:cs="Arial"/>
          <w:iCs/>
          <w:sz w:val="24"/>
          <w:lang w:eastAsia="nl-NL"/>
        </w:rPr>
        <w:t>Achab</w:t>
      </w:r>
      <w:proofErr w:type="spellEnd"/>
      <w:r w:rsidRPr="0022335B">
        <w:rPr>
          <w:rFonts w:ascii="Calibri" w:eastAsia="Calibri" w:hAnsi="Calibri" w:cs="Arial"/>
          <w:iCs/>
          <w:sz w:val="24"/>
          <w:lang w:eastAsia="nl-NL"/>
        </w:rPr>
        <w:t xml:space="preserve"> durft niet afhankelijk te zijn van Hem ‘die wolken, lucht en winden wijst spoor en loop en baan’.</w:t>
      </w:r>
      <w:r w:rsidRPr="0022335B">
        <w:rPr>
          <w:rFonts w:ascii="Calibri" w:eastAsia="Calibri" w:hAnsi="Calibri" w:cs="Arial"/>
          <w:iCs/>
          <w:sz w:val="24"/>
          <w:vertAlign w:val="superscript"/>
          <w:lang w:eastAsia="nl-NL"/>
        </w:rPr>
        <w:footnoteReference w:id="22"/>
      </w:r>
      <w:r w:rsidRPr="0022335B">
        <w:rPr>
          <w:rFonts w:ascii="Calibri" w:eastAsia="Calibri" w:hAnsi="Calibri" w:cs="Arial"/>
          <w:iCs/>
          <w:sz w:val="24"/>
          <w:lang w:eastAsia="nl-NL"/>
        </w:rPr>
        <w:t xml:space="preserve"> Een open entréé van het land is voor </w:t>
      </w:r>
      <w:proofErr w:type="spellStart"/>
      <w:r w:rsidRPr="0022335B">
        <w:rPr>
          <w:rFonts w:ascii="Calibri" w:eastAsia="Calibri" w:hAnsi="Calibri" w:cs="Arial"/>
          <w:iCs/>
          <w:sz w:val="24"/>
          <w:lang w:eastAsia="nl-NL"/>
        </w:rPr>
        <w:t>Achab</w:t>
      </w:r>
      <w:proofErr w:type="spellEnd"/>
      <w:r w:rsidRPr="0022335B">
        <w:rPr>
          <w:rFonts w:ascii="Calibri" w:eastAsia="Calibri" w:hAnsi="Calibri" w:cs="Arial"/>
          <w:iCs/>
          <w:sz w:val="24"/>
          <w:lang w:eastAsia="nl-NL"/>
        </w:rPr>
        <w:t xml:space="preserve"> geen geloofsbelijdenis meer. Maar als je niet alles op één kaart zet, kun je niet meer ontvángen ‘wat je voor lichaam en ziel nodig hebt’.</w:t>
      </w:r>
      <w:r w:rsidRPr="0022335B">
        <w:rPr>
          <w:rFonts w:ascii="Calibri" w:eastAsia="Calibri" w:hAnsi="Calibri" w:cs="Arial"/>
          <w:iCs/>
          <w:sz w:val="24"/>
          <w:vertAlign w:val="superscript"/>
          <w:lang w:eastAsia="nl-NL"/>
        </w:rPr>
        <w:footnoteReference w:id="23"/>
      </w:r>
      <w:r w:rsidRPr="0022335B">
        <w:rPr>
          <w:rFonts w:ascii="Calibri" w:eastAsia="Calibri" w:hAnsi="Calibri" w:cs="Arial"/>
          <w:iCs/>
          <w:sz w:val="24"/>
          <w:lang w:eastAsia="nl-NL"/>
        </w:rPr>
        <w:t xml:space="preserve"> Dan moet je het zelf zien te máken. En dat gaat nooit goed…</w:t>
      </w:r>
    </w:p>
    <w:p w:rsidR="00FB5DD8" w:rsidRPr="0022335B" w:rsidRDefault="00FB5DD8" w:rsidP="00FB5DD8">
      <w:pPr>
        <w:spacing w:after="0" w:line="240" w:lineRule="auto"/>
        <w:rPr>
          <w:rFonts w:ascii="Calibri" w:eastAsia="Calibri" w:hAnsi="Calibri" w:cs="Arial"/>
          <w:b/>
          <w:iCs/>
          <w:sz w:val="28"/>
          <w:lang w:eastAsia="nl-NL"/>
        </w:rPr>
      </w:pPr>
    </w:p>
    <w:p w:rsidR="00FB5DD8" w:rsidRPr="0022335B" w:rsidRDefault="00FB5DD8" w:rsidP="00FB5DD8">
      <w:pPr>
        <w:spacing w:after="0" w:line="240" w:lineRule="auto"/>
        <w:jc w:val="center"/>
        <w:rPr>
          <w:rFonts w:ascii="Calibri" w:eastAsia="Calibri" w:hAnsi="Calibri" w:cs="Arial"/>
          <w:b/>
          <w:iCs/>
          <w:sz w:val="28"/>
          <w:lang w:eastAsia="nl-NL"/>
        </w:rPr>
      </w:pPr>
      <w:r w:rsidRPr="0022335B">
        <w:rPr>
          <w:rFonts w:ascii="Calibri" w:eastAsia="Calibri" w:hAnsi="Calibri" w:cs="Arial"/>
          <w:b/>
          <w:iCs/>
          <w:sz w:val="28"/>
          <w:lang w:eastAsia="nl-NL"/>
        </w:rPr>
        <w:t>ONGEHOORZAAMHEID WREEKT ZICH</w:t>
      </w:r>
    </w:p>
    <w:p w:rsidR="00FB5DD8" w:rsidRPr="0022335B" w:rsidRDefault="00FB5DD8" w:rsidP="00FB5DD8">
      <w:pPr>
        <w:spacing w:after="0" w:line="240" w:lineRule="auto"/>
        <w:jc w:val="center"/>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r w:rsidRPr="0022335B">
        <w:rPr>
          <w:rFonts w:ascii="Calibri" w:eastAsia="Calibri" w:hAnsi="Calibri" w:cs="Arial"/>
          <w:b/>
          <w:i/>
          <w:iCs/>
          <w:sz w:val="24"/>
          <w:lang w:eastAsia="nl-NL"/>
        </w:rPr>
        <w:t>Een steenhoop en een begraafplaats</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 xml:space="preserve">Wat in Jericho niet verbrand werd, werd aan de HEER gewijd. Toen </w:t>
      </w:r>
      <w:proofErr w:type="spellStart"/>
      <w:r w:rsidRPr="0022335B">
        <w:rPr>
          <w:rFonts w:ascii="Calibri" w:eastAsia="Calibri" w:hAnsi="Calibri" w:cs="Arial"/>
          <w:iCs/>
          <w:sz w:val="24"/>
          <w:lang w:eastAsia="nl-NL"/>
        </w:rPr>
        <w:t>Achan</w:t>
      </w:r>
      <w:proofErr w:type="spellEnd"/>
      <w:r w:rsidRPr="0022335B">
        <w:rPr>
          <w:rFonts w:ascii="Calibri" w:eastAsia="Calibri" w:hAnsi="Calibri" w:cs="Arial"/>
          <w:iCs/>
          <w:sz w:val="24"/>
          <w:lang w:eastAsia="nl-NL"/>
        </w:rPr>
        <w:t xml:space="preserve"> ervan gapte, ging het fout. In het </w:t>
      </w:r>
      <w:proofErr w:type="spellStart"/>
      <w:r w:rsidRPr="0022335B">
        <w:rPr>
          <w:rFonts w:ascii="Calibri" w:eastAsia="Calibri" w:hAnsi="Calibri" w:cs="Arial"/>
          <w:iCs/>
          <w:sz w:val="24"/>
          <w:lang w:eastAsia="nl-NL"/>
        </w:rPr>
        <w:t>Achordal</w:t>
      </w:r>
      <w:proofErr w:type="spellEnd"/>
      <w:r w:rsidRPr="0022335B">
        <w:rPr>
          <w:rFonts w:ascii="Calibri" w:eastAsia="Calibri" w:hAnsi="Calibri" w:cs="Arial"/>
          <w:iCs/>
          <w:sz w:val="24"/>
          <w:lang w:eastAsia="nl-NL"/>
        </w:rPr>
        <w:t xml:space="preserve"> stierf een familie. Een stéénhoop naast een puínhoop.</w:t>
      </w:r>
      <w:r w:rsidRPr="0022335B">
        <w:rPr>
          <w:rFonts w:ascii="Calibri" w:eastAsia="Calibri" w:hAnsi="Calibri" w:cs="Arial"/>
          <w:iCs/>
          <w:sz w:val="24"/>
          <w:vertAlign w:val="superscript"/>
          <w:lang w:eastAsia="nl-NL"/>
        </w:rPr>
        <w:footnoteReference w:id="24"/>
      </w:r>
      <w:r w:rsidRPr="0022335B">
        <w:rPr>
          <w:rFonts w:ascii="Calibri" w:eastAsia="Calibri" w:hAnsi="Calibri" w:cs="Arial"/>
          <w:iCs/>
          <w:sz w:val="24"/>
          <w:lang w:eastAsia="nl-NL"/>
        </w:rPr>
        <w:t xml:space="preserve"> Een half </w:t>
      </w:r>
      <w:r w:rsidRPr="0022335B">
        <w:rPr>
          <w:rFonts w:ascii="Calibri" w:eastAsia="Calibri" w:hAnsi="Calibri" w:cs="Arial"/>
          <w:iCs/>
          <w:sz w:val="24"/>
          <w:lang w:eastAsia="nl-NL"/>
        </w:rPr>
        <w:lastRenderedPageBreak/>
        <w:t xml:space="preserve">millennium later vergreep </w:t>
      </w:r>
      <w:proofErr w:type="spellStart"/>
      <w:r w:rsidRPr="0022335B">
        <w:rPr>
          <w:rFonts w:ascii="Calibri" w:eastAsia="Calibri" w:hAnsi="Calibri" w:cs="Arial"/>
          <w:iCs/>
          <w:sz w:val="24"/>
          <w:lang w:eastAsia="nl-NL"/>
        </w:rPr>
        <w:t>Chiël</w:t>
      </w:r>
      <w:proofErr w:type="spellEnd"/>
      <w:r w:rsidRPr="0022335B">
        <w:rPr>
          <w:rFonts w:ascii="Calibri" w:eastAsia="Calibri" w:hAnsi="Calibri" w:cs="Arial"/>
          <w:iCs/>
          <w:sz w:val="24"/>
          <w:lang w:eastAsia="nl-NL"/>
        </w:rPr>
        <w:t xml:space="preserve"> zich aan Gods gedenkteken. Voor de zonde van vader boetten z’n jongens.</w:t>
      </w:r>
      <w:r w:rsidRPr="0022335B">
        <w:rPr>
          <w:rFonts w:ascii="Calibri" w:eastAsia="Calibri" w:hAnsi="Calibri" w:cs="Arial"/>
          <w:iCs/>
          <w:sz w:val="24"/>
          <w:vertAlign w:val="superscript"/>
          <w:lang w:eastAsia="nl-NL"/>
        </w:rPr>
        <w:footnoteReference w:id="25"/>
      </w:r>
      <w:r w:rsidRPr="0022335B">
        <w:rPr>
          <w:rFonts w:ascii="Calibri" w:eastAsia="Calibri" w:hAnsi="Calibri" w:cs="Arial"/>
          <w:iCs/>
          <w:sz w:val="24"/>
          <w:lang w:eastAsia="nl-NL"/>
        </w:rPr>
        <w:t xml:space="preserve"> “Hij zal de fundamenten leggen ten koste van zijn oudste zoon en de poortdeuren bevestigen ten koste van zijn jongste zoon,” zwoer God via Jozua. “Ten koste van zijn oudste zoon, </w:t>
      </w:r>
      <w:proofErr w:type="spellStart"/>
      <w:r w:rsidRPr="0022335B">
        <w:rPr>
          <w:rFonts w:ascii="Calibri" w:eastAsia="Calibri" w:hAnsi="Calibri" w:cs="Arial"/>
          <w:iCs/>
          <w:sz w:val="24"/>
          <w:lang w:eastAsia="nl-NL"/>
        </w:rPr>
        <w:t>Abiram</w:t>
      </w:r>
      <w:proofErr w:type="spellEnd"/>
      <w:r w:rsidRPr="0022335B">
        <w:rPr>
          <w:rFonts w:ascii="Calibri" w:eastAsia="Calibri" w:hAnsi="Calibri" w:cs="Arial"/>
          <w:iCs/>
          <w:sz w:val="24"/>
          <w:lang w:eastAsia="nl-NL"/>
        </w:rPr>
        <w:t xml:space="preserve">, legde </w:t>
      </w:r>
      <w:proofErr w:type="spellStart"/>
      <w:r w:rsidRPr="0022335B">
        <w:rPr>
          <w:rFonts w:ascii="Calibri" w:eastAsia="Calibri" w:hAnsi="Calibri" w:cs="Arial"/>
          <w:iCs/>
          <w:sz w:val="24"/>
          <w:lang w:eastAsia="nl-NL"/>
        </w:rPr>
        <w:t>Chiël</w:t>
      </w:r>
      <w:proofErr w:type="spellEnd"/>
      <w:r w:rsidRPr="0022335B">
        <w:rPr>
          <w:rFonts w:ascii="Calibri" w:eastAsia="Calibri" w:hAnsi="Calibri" w:cs="Arial"/>
          <w:iCs/>
          <w:sz w:val="24"/>
          <w:lang w:eastAsia="nl-NL"/>
        </w:rPr>
        <w:t xml:space="preserve"> de fundamenten, en de poortdeuren bevestigde hij ten koste van </w:t>
      </w:r>
      <w:proofErr w:type="spellStart"/>
      <w:r w:rsidRPr="0022335B">
        <w:rPr>
          <w:rFonts w:ascii="Calibri" w:eastAsia="Calibri" w:hAnsi="Calibri" w:cs="Arial"/>
          <w:iCs/>
          <w:sz w:val="24"/>
          <w:lang w:eastAsia="nl-NL"/>
        </w:rPr>
        <w:t>Segub</w:t>
      </w:r>
      <w:proofErr w:type="spellEnd"/>
      <w:r w:rsidRPr="0022335B">
        <w:rPr>
          <w:rFonts w:ascii="Calibri" w:eastAsia="Calibri" w:hAnsi="Calibri" w:cs="Arial"/>
          <w:iCs/>
          <w:sz w:val="24"/>
          <w:lang w:eastAsia="nl-NL"/>
        </w:rPr>
        <w:t>, zijn jongste zoon.” Een begraafplaats bij de muur.</w:t>
      </w:r>
    </w:p>
    <w:p w:rsidR="00FB5DD8" w:rsidRPr="0022335B" w:rsidRDefault="00FB5DD8" w:rsidP="00FB5DD8">
      <w:pPr>
        <w:spacing w:after="0" w:line="240" w:lineRule="auto"/>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r w:rsidRPr="0022335B">
        <w:rPr>
          <w:rFonts w:ascii="Calibri" w:eastAsia="Calibri" w:hAnsi="Calibri" w:cs="Arial"/>
          <w:b/>
          <w:i/>
          <w:iCs/>
          <w:sz w:val="24"/>
          <w:lang w:eastAsia="nl-NL"/>
        </w:rPr>
        <w:t>De muur opgebouwd, het gezin geruïneerd</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 xml:space="preserve">Hoe zijn die jongens gestorven? Het kan zijn dat een ziekte hen trof heeft. Misschien zijn ze verongelukt. Sommigen veronderstellen dat </w:t>
      </w:r>
      <w:proofErr w:type="spellStart"/>
      <w:r w:rsidRPr="0022335B">
        <w:rPr>
          <w:rFonts w:ascii="Calibri" w:eastAsia="Calibri" w:hAnsi="Calibri" w:cs="Arial"/>
          <w:iCs/>
          <w:sz w:val="24"/>
          <w:lang w:eastAsia="nl-NL"/>
        </w:rPr>
        <w:t>Chiël</w:t>
      </w:r>
      <w:proofErr w:type="spellEnd"/>
      <w:r w:rsidRPr="0022335B">
        <w:rPr>
          <w:rFonts w:ascii="Calibri" w:eastAsia="Calibri" w:hAnsi="Calibri" w:cs="Arial"/>
          <w:iCs/>
          <w:sz w:val="24"/>
          <w:lang w:eastAsia="nl-NL"/>
        </w:rPr>
        <w:t xml:space="preserve"> op z’n </w:t>
      </w:r>
      <w:proofErr w:type="spellStart"/>
      <w:r w:rsidRPr="0022335B">
        <w:rPr>
          <w:rFonts w:ascii="Calibri" w:eastAsia="Calibri" w:hAnsi="Calibri" w:cs="Arial"/>
          <w:iCs/>
          <w:sz w:val="24"/>
          <w:lang w:eastAsia="nl-NL"/>
        </w:rPr>
        <w:t>Kanaänitisch</w:t>
      </w:r>
      <w:proofErr w:type="spellEnd"/>
      <w:r w:rsidRPr="0022335B">
        <w:rPr>
          <w:rFonts w:ascii="Calibri" w:eastAsia="Calibri" w:hAnsi="Calibri" w:cs="Arial"/>
          <w:iCs/>
          <w:sz w:val="24"/>
          <w:lang w:eastAsia="nl-NL"/>
        </w:rPr>
        <w:t xml:space="preserve"> z’n kinderen heeft opgeofferd. Dood of levend ingemetseld. Mogelijk is de bedoeling dat z’n kinderen een voor een stierven: </w:t>
      </w:r>
      <w:proofErr w:type="spellStart"/>
      <w:r w:rsidRPr="0022335B">
        <w:rPr>
          <w:rFonts w:ascii="Calibri" w:eastAsia="Calibri" w:hAnsi="Calibri" w:cs="Arial"/>
          <w:iCs/>
          <w:sz w:val="24"/>
          <w:lang w:eastAsia="nl-NL"/>
        </w:rPr>
        <w:t>Abiram</w:t>
      </w:r>
      <w:proofErr w:type="spellEnd"/>
      <w:r w:rsidRPr="0022335B">
        <w:rPr>
          <w:rFonts w:ascii="Calibri" w:eastAsia="Calibri" w:hAnsi="Calibri" w:cs="Arial"/>
          <w:iCs/>
          <w:sz w:val="24"/>
          <w:lang w:eastAsia="nl-NL"/>
        </w:rPr>
        <w:t xml:space="preserve"> als eerste en </w:t>
      </w:r>
      <w:proofErr w:type="spellStart"/>
      <w:r w:rsidRPr="0022335B">
        <w:rPr>
          <w:rFonts w:ascii="Calibri" w:eastAsia="Calibri" w:hAnsi="Calibri" w:cs="Arial"/>
          <w:iCs/>
          <w:sz w:val="24"/>
          <w:lang w:eastAsia="nl-NL"/>
        </w:rPr>
        <w:t>Segub</w:t>
      </w:r>
      <w:proofErr w:type="spellEnd"/>
      <w:r w:rsidRPr="0022335B">
        <w:rPr>
          <w:rFonts w:ascii="Calibri" w:eastAsia="Calibri" w:hAnsi="Calibri" w:cs="Arial"/>
          <w:iCs/>
          <w:sz w:val="24"/>
          <w:lang w:eastAsia="nl-NL"/>
        </w:rPr>
        <w:t xml:space="preserve"> als laatste; en daartussenin de rest van het gezin. Hoe dan ook, terwijl de stadsmuur werd ópgebouwd werd z’n gezin geruïnéérd. Na elke afgeronde fase geen feest maar een begrafenis. De als éérvol bedoelde opdracht leverde geen gevestigde naam op: ‘Bouwbedrijf </w:t>
      </w:r>
      <w:proofErr w:type="spellStart"/>
      <w:r w:rsidRPr="0022335B">
        <w:rPr>
          <w:rFonts w:ascii="Calibri" w:eastAsia="Calibri" w:hAnsi="Calibri" w:cs="Arial"/>
          <w:iCs/>
          <w:sz w:val="24"/>
          <w:lang w:eastAsia="nl-NL"/>
        </w:rPr>
        <w:t>Chiël</w:t>
      </w:r>
      <w:proofErr w:type="spellEnd"/>
      <w:r w:rsidRPr="0022335B">
        <w:rPr>
          <w:rFonts w:ascii="Calibri" w:eastAsia="Calibri" w:hAnsi="Calibri" w:cs="Arial"/>
          <w:iCs/>
          <w:sz w:val="24"/>
          <w:lang w:eastAsia="nl-NL"/>
        </w:rPr>
        <w:t xml:space="preserve"> &amp; zonen’; maar een roémloos einde en een namelóós verdriet.</w:t>
      </w:r>
    </w:p>
    <w:p w:rsidR="00FB5DD8" w:rsidRPr="0022335B" w:rsidRDefault="00FB5DD8" w:rsidP="00FB5DD8">
      <w:pPr>
        <w:spacing w:after="0" w:line="240" w:lineRule="auto"/>
        <w:rPr>
          <w:rFonts w:ascii="Calibri" w:eastAsia="Calibri" w:hAnsi="Calibri" w:cs="Arial"/>
          <w:b/>
          <w:i/>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r w:rsidRPr="0022335B">
        <w:rPr>
          <w:rFonts w:ascii="Calibri" w:eastAsia="Calibri" w:hAnsi="Calibri" w:cs="Arial"/>
          <w:b/>
          <w:i/>
          <w:iCs/>
          <w:sz w:val="24"/>
          <w:lang w:eastAsia="nl-NL"/>
        </w:rPr>
        <w:t>“In zwakheid wordt des HEREN kracht volbracht”</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God laat zich niet op een zijspoor manoeuvreren. Nog in geen vijfhonderd jaar. “Het begin van wijsheid is ontzag voor de HEER.”</w:t>
      </w:r>
      <w:r w:rsidRPr="0022335B">
        <w:rPr>
          <w:rFonts w:ascii="Calibri" w:eastAsia="Calibri" w:hAnsi="Calibri" w:cs="Arial"/>
          <w:iCs/>
          <w:sz w:val="24"/>
          <w:vertAlign w:val="superscript"/>
          <w:lang w:eastAsia="nl-NL"/>
        </w:rPr>
        <w:footnoteReference w:id="26"/>
      </w:r>
      <w:r w:rsidRPr="0022335B">
        <w:rPr>
          <w:rFonts w:ascii="Calibri" w:eastAsia="Calibri" w:hAnsi="Calibri" w:cs="Arial"/>
          <w:iCs/>
          <w:sz w:val="24"/>
          <w:lang w:eastAsia="nl-NL"/>
        </w:rPr>
        <w:t xml:space="preserve"> Ongehoorzaamheid wreekt zich. Altijd. Bij seksuele losbandigheid of huwelijkse ontrouw kom je jezelf tegen. Met lege handen. Een vernield gezin. Je hoéft niet alles te overzien. Dát doet Gód. “Ík lever Jericho met zijn koning en al zijn dappere helden aan je uit” hoorde Jozua de HEER zeggen. Je hoéft niet sterk te zijn. “In zwakheid wordt des HÉREN kracht volbracht.”</w:t>
      </w:r>
      <w:r w:rsidRPr="0022335B">
        <w:rPr>
          <w:rFonts w:ascii="Calibri" w:eastAsia="Calibri" w:hAnsi="Calibri" w:cs="Arial"/>
          <w:iCs/>
          <w:sz w:val="24"/>
          <w:vertAlign w:val="superscript"/>
          <w:lang w:eastAsia="nl-NL"/>
        </w:rPr>
        <w:footnoteReference w:id="27"/>
      </w:r>
      <w:r w:rsidRPr="0022335B">
        <w:rPr>
          <w:rFonts w:ascii="Calibri" w:eastAsia="Calibri" w:hAnsi="Calibri" w:cs="Arial"/>
          <w:iCs/>
          <w:sz w:val="24"/>
          <w:lang w:eastAsia="nl-NL"/>
        </w:rPr>
        <w:t xml:space="preserve"> Kijk Jezus. In de priesters met de ramshoorns wierp Hij zijn schaduw vooruit. Hij is je levensverzekering. </w:t>
      </w:r>
    </w:p>
    <w:p w:rsidR="00FB5DD8" w:rsidRPr="0022335B" w:rsidRDefault="00FB5DD8" w:rsidP="00FB5DD8">
      <w:pPr>
        <w:spacing w:after="0" w:line="240" w:lineRule="auto"/>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u w:val="single"/>
          <w:lang w:eastAsia="nl-NL"/>
        </w:rPr>
      </w:pPr>
      <w:r w:rsidRPr="0022335B">
        <w:rPr>
          <w:rFonts w:ascii="Calibri" w:eastAsia="Calibri" w:hAnsi="Calibri" w:cs="Arial"/>
          <w:b/>
          <w:i/>
          <w:iCs/>
          <w:sz w:val="24"/>
          <w:lang w:eastAsia="nl-NL"/>
        </w:rPr>
        <w:t>Jericho, Babylon en… Jeruzalem</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u w:val="single"/>
          <w:lang w:eastAsia="nl-NL"/>
        </w:rPr>
        <w:t>Jericho</w:t>
      </w:r>
      <w:r w:rsidRPr="0022335B">
        <w:rPr>
          <w:rFonts w:ascii="Calibri" w:eastAsia="Calibri" w:hAnsi="Calibri" w:cs="Arial"/>
          <w:iCs/>
          <w:sz w:val="24"/>
          <w:lang w:eastAsia="nl-NL"/>
        </w:rPr>
        <w:t xml:space="preserve">, vestingstad van </w:t>
      </w:r>
      <w:proofErr w:type="spellStart"/>
      <w:r w:rsidRPr="0022335B">
        <w:rPr>
          <w:rFonts w:ascii="Calibri" w:eastAsia="Calibri" w:hAnsi="Calibri" w:cs="Arial"/>
          <w:iCs/>
          <w:sz w:val="24"/>
          <w:lang w:eastAsia="nl-NL"/>
        </w:rPr>
        <w:t>Achab</w:t>
      </w:r>
      <w:proofErr w:type="spellEnd"/>
      <w:r w:rsidRPr="0022335B">
        <w:rPr>
          <w:rFonts w:ascii="Calibri" w:eastAsia="Calibri" w:hAnsi="Calibri" w:cs="Arial"/>
          <w:iCs/>
          <w:sz w:val="24"/>
          <w:lang w:eastAsia="nl-NL"/>
        </w:rPr>
        <w:t xml:space="preserve">. (‘Broér van vader’ betekent z’n naam.) De stad door </w:t>
      </w:r>
      <w:proofErr w:type="spellStart"/>
      <w:r w:rsidRPr="0022335B">
        <w:rPr>
          <w:rFonts w:ascii="Calibri" w:eastAsia="Calibri" w:hAnsi="Calibri" w:cs="Arial"/>
          <w:iCs/>
          <w:sz w:val="24"/>
          <w:lang w:eastAsia="nl-NL"/>
        </w:rPr>
        <w:t>Chiël</w:t>
      </w:r>
      <w:proofErr w:type="spellEnd"/>
      <w:r w:rsidRPr="0022335B">
        <w:rPr>
          <w:rFonts w:ascii="Calibri" w:eastAsia="Calibri" w:hAnsi="Calibri" w:cs="Arial"/>
          <w:iCs/>
          <w:sz w:val="24"/>
          <w:lang w:eastAsia="nl-NL"/>
        </w:rPr>
        <w:t xml:space="preserve"> ‘ontworpen en gebouwd’.</w:t>
      </w:r>
      <w:r w:rsidRPr="0022335B">
        <w:rPr>
          <w:rFonts w:ascii="Calibri" w:eastAsia="Calibri" w:hAnsi="Calibri" w:cs="Arial"/>
          <w:iCs/>
          <w:sz w:val="24"/>
          <w:vertAlign w:val="superscript"/>
          <w:lang w:eastAsia="nl-NL"/>
        </w:rPr>
        <w:footnoteReference w:id="28"/>
      </w:r>
      <w:r w:rsidRPr="0022335B">
        <w:rPr>
          <w:rFonts w:ascii="Calibri" w:eastAsia="Calibri" w:hAnsi="Calibri" w:cs="Arial"/>
          <w:iCs/>
          <w:sz w:val="24"/>
          <w:lang w:eastAsia="nl-NL"/>
        </w:rPr>
        <w:t xml:space="preserve"> Gefundeerd op het bloed van zijn kínderen. </w:t>
      </w:r>
      <w:r w:rsidRPr="0022335B">
        <w:rPr>
          <w:rFonts w:ascii="Calibri" w:eastAsia="Calibri" w:hAnsi="Calibri" w:cs="Arial"/>
          <w:iCs/>
          <w:sz w:val="24"/>
          <w:u w:val="single"/>
          <w:lang w:eastAsia="nl-NL"/>
        </w:rPr>
        <w:t>Babylon</w:t>
      </w:r>
      <w:r w:rsidRPr="0022335B">
        <w:rPr>
          <w:rFonts w:ascii="Calibri" w:eastAsia="Calibri" w:hAnsi="Calibri" w:cs="Arial"/>
          <w:iCs/>
          <w:sz w:val="24"/>
          <w:lang w:eastAsia="nl-NL"/>
        </w:rPr>
        <w:t>. “In deze stad vloeide het bloed van profeten en heiligen.” Slot Openbaring 18.</w:t>
      </w:r>
      <w:r w:rsidRPr="0022335B">
        <w:rPr>
          <w:rFonts w:ascii="Calibri" w:eastAsia="Calibri" w:hAnsi="Calibri" w:cs="Arial"/>
          <w:iCs/>
          <w:sz w:val="24"/>
          <w:vertAlign w:val="superscript"/>
          <w:lang w:eastAsia="nl-NL"/>
        </w:rPr>
        <w:footnoteReference w:id="29"/>
      </w:r>
      <w:r w:rsidRPr="0022335B">
        <w:rPr>
          <w:rFonts w:ascii="Calibri" w:eastAsia="Calibri" w:hAnsi="Calibri" w:cs="Arial"/>
          <w:iCs/>
          <w:sz w:val="24"/>
          <w:lang w:eastAsia="nl-NL"/>
        </w:rPr>
        <w:t xml:space="preserve"> God geeft optie Abraham. “Hij verwachtte de stad met fundamenten waarvan God de ontwerper en bouwmeester is.”</w:t>
      </w:r>
      <w:r w:rsidRPr="0022335B">
        <w:rPr>
          <w:rFonts w:ascii="Calibri" w:eastAsia="Calibri" w:hAnsi="Calibri" w:cs="Arial"/>
          <w:iCs/>
          <w:sz w:val="24"/>
          <w:vertAlign w:val="superscript"/>
          <w:lang w:eastAsia="nl-NL"/>
        </w:rPr>
        <w:footnoteReference w:id="30"/>
      </w:r>
      <w:r w:rsidRPr="0022335B">
        <w:rPr>
          <w:rFonts w:ascii="Calibri" w:eastAsia="Calibri" w:hAnsi="Calibri" w:cs="Arial"/>
          <w:iCs/>
          <w:sz w:val="24"/>
          <w:lang w:eastAsia="nl-NL"/>
        </w:rPr>
        <w:t xml:space="preserve"> ‘Het nieuwe </w:t>
      </w:r>
      <w:r w:rsidRPr="0022335B">
        <w:rPr>
          <w:rFonts w:ascii="Calibri" w:eastAsia="Calibri" w:hAnsi="Calibri" w:cs="Arial"/>
          <w:iCs/>
          <w:sz w:val="24"/>
          <w:u w:val="single"/>
          <w:lang w:eastAsia="nl-NL"/>
        </w:rPr>
        <w:t>Jeruzalem’</w:t>
      </w:r>
      <w:r w:rsidRPr="0022335B">
        <w:rPr>
          <w:rFonts w:ascii="Calibri" w:eastAsia="Calibri" w:hAnsi="Calibri" w:cs="Arial"/>
          <w:iCs/>
          <w:sz w:val="24"/>
          <w:lang w:eastAsia="nl-NL"/>
        </w:rPr>
        <w:t>,</w:t>
      </w:r>
      <w:r w:rsidRPr="0022335B">
        <w:rPr>
          <w:rFonts w:ascii="Calibri" w:eastAsia="Calibri" w:hAnsi="Calibri" w:cs="Arial"/>
          <w:iCs/>
          <w:sz w:val="24"/>
          <w:vertAlign w:val="superscript"/>
          <w:lang w:eastAsia="nl-NL"/>
        </w:rPr>
        <w:footnoteReference w:id="31"/>
      </w:r>
      <w:r w:rsidRPr="0022335B">
        <w:rPr>
          <w:rFonts w:ascii="Calibri" w:eastAsia="Calibri" w:hAnsi="Calibri" w:cs="Arial"/>
          <w:iCs/>
          <w:sz w:val="24"/>
          <w:lang w:eastAsia="nl-NL"/>
        </w:rPr>
        <w:t xml:space="preserve"> gebaseerd op het bloed van het Lám.</w:t>
      </w:r>
      <w:r w:rsidRPr="0022335B">
        <w:rPr>
          <w:rFonts w:ascii="Calibri" w:eastAsia="Calibri" w:hAnsi="Calibri" w:cs="Arial"/>
          <w:iCs/>
          <w:sz w:val="24"/>
          <w:vertAlign w:val="superscript"/>
          <w:lang w:eastAsia="nl-NL"/>
        </w:rPr>
        <w:footnoteReference w:id="32"/>
      </w:r>
      <w:r w:rsidRPr="0022335B">
        <w:rPr>
          <w:rFonts w:ascii="Calibri" w:eastAsia="Calibri" w:hAnsi="Calibri" w:cs="Arial"/>
          <w:iCs/>
          <w:sz w:val="24"/>
          <w:lang w:eastAsia="nl-NL"/>
        </w:rPr>
        <w:t xml:space="preserve"> </w:t>
      </w:r>
    </w:p>
    <w:p w:rsidR="00FB5DD8" w:rsidRPr="0022335B" w:rsidRDefault="00FB5DD8" w:rsidP="00FB5DD8">
      <w:pPr>
        <w:spacing w:after="0" w:line="240" w:lineRule="auto"/>
        <w:rPr>
          <w:rFonts w:ascii="Calibri" w:eastAsia="Calibri" w:hAnsi="Calibri" w:cs="Arial"/>
          <w:iCs/>
          <w:sz w:val="24"/>
          <w:lang w:eastAsia="nl-NL"/>
        </w:rPr>
      </w:pPr>
    </w:p>
    <w:p w:rsidR="00FB5DD8" w:rsidRPr="0022335B" w:rsidRDefault="00FB5DD8" w:rsidP="00FB5DD8">
      <w:pPr>
        <w:spacing w:after="0" w:line="240" w:lineRule="auto"/>
        <w:rPr>
          <w:rFonts w:ascii="Calibri" w:eastAsia="Calibri" w:hAnsi="Calibri" w:cs="Arial"/>
          <w:b/>
          <w:i/>
          <w:iCs/>
          <w:sz w:val="24"/>
          <w:lang w:eastAsia="nl-NL"/>
        </w:rPr>
      </w:pPr>
      <w:r w:rsidRPr="0022335B">
        <w:rPr>
          <w:rFonts w:ascii="Calibri" w:eastAsia="Calibri" w:hAnsi="Calibri" w:cs="Arial"/>
          <w:b/>
          <w:i/>
          <w:iCs/>
          <w:sz w:val="24"/>
          <w:lang w:eastAsia="nl-NL"/>
        </w:rPr>
        <w:t>Nooit meer wintertijd</w:t>
      </w:r>
    </w:p>
    <w:p w:rsidR="00FB5DD8" w:rsidRPr="0022335B" w:rsidRDefault="00FB5DD8" w:rsidP="00FB5DD8">
      <w:pPr>
        <w:spacing w:after="0" w:line="240" w:lineRule="auto"/>
        <w:rPr>
          <w:rFonts w:ascii="Calibri" w:eastAsia="Calibri" w:hAnsi="Calibri" w:cs="Arial"/>
          <w:iCs/>
          <w:sz w:val="24"/>
          <w:lang w:eastAsia="nl-NL"/>
        </w:rPr>
      </w:pPr>
      <w:r w:rsidRPr="0022335B">
        <w:rPr>
          <w:rFonts w:ascii="Calibri" w:eastAsia="Calibri" w:hAnsi="Calibri" w:cs="Arial"/>
          <w:iCs/>
          <w:sz w:val="24"/>
          <w:lang w:eastAsia="nl-NL"/>
        </w:rPr>
        <w:t>Jericho zonder múren: Gods óórlogsmonument. ‘De heilige stad’ ‘bij God vandaan’: een monument van vréde.</w:t>
      </w:r>
      <w:r w:rsidRPr="0022335B">
        <w:rPr>
          <w:rFonts w:ascii="Calibri" w:eastAsia="Calibri" w:hAnsi="Calibri" w:cs="Arial"/>
          <w:iCs/>
          <w:sz w:val="24"/>
          <w:vertAlign w:val="superscript"/>
          <w:lang w:eastAsia="nl-NL"/>
        </w:rPr>
        <w:footnoteReference w:id="33"/>
      </w:r>
      <w:r w:rsidRPr="0022335B">
        <w:rPr>
          <w:rFonts w:ascii="Calibri" w:eastAsia="Calibri" w:hAnsi="Calibri" w:cs="Arial"/>
          <w:iCs/>
          <w:sz w:val="24"/>
          <w:lang w:eastAsia="nl-NL"/>
        </w:rPr>
        <w:t xml:space="preserve"> “De póórten zullen overdag nooit gesloten worden.”</w:t>
      </w:r>
      <w:r w:rsidRPr="0022335B">
        <w:rPr>
          <w:rFonts w:ascii="Calibri" w:eastAsia="Calibri" w:hAnsi="Calibri" w:cs="Arial"/>
          <w:iCs/>
          <w:sz w:val="24"/>
          <w:vertAlign w:val="superscript"/>
          <w:lang w:eastAsia="nl-NL"/>
        </w:rPr>
        <w:footnoteReference w:id="34"/>
      </w:r>
      <w:r w:rsidRPr="0022335B">
        <w:rPr>
          <w:rFonts w:ascii="Calibri" w:eastAsia="Calibri" w:hAnsi="Calibri" w:cs="Arial"/>
          <w:iCs/>
          <w:sz w:val="24"/>
          <w:lang w:eastAsia="nl-NL"/>
        </w:rPr>
        <w:t xml:space="preserve"> Compleet overbodig. Nooit meer wintertijd. Nooit meer nacht. Dankzij de Zóón van Vader!</w:t>
      </w:r>
    </w:p>
    <w:p w:rsidR="00FB5DD8" w:rsidRPr="0022335B" w:rsidRDefault="00FB5DD8" w:rsidP="00FB5DD8">
      <w:pPr>
        <w:spacing w:after="0" w:line="240" w:lineRule="auto"/>
        <w:rPr>
          <w:rFonts w:ascii="Calibri" w:eastAsia="Calibri" w:hAnsi="Calibri" w:cs="Arial"/>
          <w:iCs/>
          <w:sz w:val="24"/>
          <w:lang w:eastAsia="nl-NL"/>
        </w:rPr>
      </w:pPr>
    </w:p>
    <w:p w:rsidR="00FB5DD8" w:rsidRDefault="00FB5DD8" w:rsidP="00FB5DD8">
      <w:pPr>
        <w:spacing w:line="240" w:lineRule="auto"/>
        <w:rPr>
          <w:rFonts w:ascii="Calibri" w:eastAsia="Calibri" w:hAnsi="Calibri" w:cs="Arial"/>
          <w:iCs/>
          <w:sz w:val="24"/>
          <w:lang w:eastAsia="nl-NL"/>
        </w:rPr>
      </w:pPr>
      <w:r w:rsidRPr="0022335B">
        <w:rPr>
          <w:rFonts w:ascii="Calibri" w:eastAsia="Calibri" w:hAnsi="Calibri" w:cs="Arial"/>
          <w:iCs/>
          <w:sz w:val="24"/>
          <w:lang w:eastAsia="nl-NL"/>
        </w:rPr>
        <w:t>Amen</w:t>
      </w:r>
    </w:p>
    <w:sectPr w:rsidR="00FB5DD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A75" w:rsidRDefault="00F71A75" w:rsidP="00FB5DD8">
      <w:pPr>
        <w:spacing w:after="0" w:line="240" w:lineRule="auto"/>
      </w:pPr>
      <w:r>
        <w:separator/>
      </w:r>
    </w:p>
  </w:endnote>
  <w:endnote w:type="continuationSeparator" w:id="0">
    <w:p w:rsidR="00F71A75" w:rsidRDefault="00F71A75" w:rsidP="00FB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F71A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F71A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F71A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A75" w:rsidRDefault="00F71A75" w:rsidP="00FB5DD8">
      <w:pPr>
        <w:spacing w:after="0" w:line="240" w:lineRule="auto"/>
      </w:pPr>
      <w:r>
        <w:separator/>
      </w:r>
    </w:p>
  </w:footnote>
  <w:footnote w:type="continuationSeparator" w:id="0">
    <w:p w:rsidR="00F71A75" w:rsidRDefault="00F71A75" w:rsidP="00FB5DD8">
      <w:pPr>
        <w:spacing w:after="0" w:line="240" w:lineRule="auto"/>
      </w:pPr>
      <w:r>
        <w:continuationSeparator/>
      </w:r>
    </w:p>
  </w:footnote>
  <w:footnote w:id="1">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Deuteronomium 34,3.</w:t>
      </w:r>
    </w:p>
  </w:footnote>
  <w:footnote w:id="2">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Numeri 13.14, m.n. 14,34.</w:t>
      </w:r>
    </w:p>
  </w:footnote>
  <w:footnote w:id="3">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Leviticus 18,21; 20,2-5; Deuteronomium 12,31; 18,10</w:t>
      </w:r>
    </w:p>
  </w:footnote>
  <w:footnote w:id="4">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Jozua 2,10.11; 5,1. Exodus 14,21.22; Numeri 21,21-35.</w:t>
      </w:r>
    </w:p>
  </w:footnote>
  <w:footnote w:id="5">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Genesis 6,5-8,22.</w:t>
      </w:r>
    </w:p>
  </w:footnote>
  <w:footnote w:id="6">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Genesis 18,16-19,29.</w:t>
      </w:r>
    </w:p>
  </w:footnote>
  <w:footnote w:id="7">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II Petrus 2,9; 3,7.</w:t>
      </w:r>
    </w:p>
  </w:footnote>
  <w:footnote w:id="8">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Genesis 15,16.</w:t>
      </w:r>
    </w:p>
  </w:footnote>
  <w:footnote w:id="9">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Hebreeën 11,29.30.</w:t>
      </w:r>
    </w:p>
  </w:footnote>
  <w:footnote w:id="10">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Hebreeën 11,16.</w:t>
      </w:r>
    </w:p>
  </w:footnote>
  <w:footnote w:id="11">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I Koningen 16,25.</w:t>
      </w:r>
    </w:p>
  </w:footnote>
  <w:footnote w:id="12">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I Koningen 12,25-32.</w:t>
      </w:r>
    </w:p>
  </w:footnote>
  <w:footnote w:id="13">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Exodus 32-34.</w:t>
      </w:r>
    </w:p>
  </w:footnote>
  <w:footnote w:id="14">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I Koningen 1623,-28.</w:t>
      </w:r>
    </w:p>
  </w:footnote>
  <w:footnote w:id="15">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Rechters 3,12-14.</w:t>
      </w:r>
    </w:p>
  </w:footnote>
  <w:footnote w:id="16">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Stèle van Mesa (830), in het Louvre: “Wat </w:t>
      </w:r>
      <w:proofErr w:type="spellStart"/>
      <w:r w:rsidRPr="00FB5DD8">
        <w:rPr>
          <w:sz w:val="14"/>
          <w:szCs w:val="16"/>
        </w:rPr>
        <w:t>Omri</w:t>
      </w:r>
      <w:proofErr w:type="spellEnd"/>
      <w:r w:rsidRPr="00FB5DD8">
        <w:rPr>
          <w:sz w:val="14"/>
          <w:szCs w:val="16"/>
        </w:rPr>
        <w:t xml:space="preserve"> betreft, koning van Israël, hij vernederde Moab vele jaren. En zijn zoon volgde hem op en ook hij zei: 'ik zal Moab vernederen'. Zo sprak hij in mijn tijd, maar ik overwon hem en zijn huis, terwijl Israël onderging voor immer.”</w:t>
      </w:r>
    </w:p>
  </w:footnote>
  <w:footnote w:id="17">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II Koningen 1,1; 3,4.5.</w:t>
      </w:r>
    </w:p>
  </w:footnote>
  <w:footnote w:id="18">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Jozua 18,21</w:t>
      </w:r>
    </w:p>
  </w:footnote>
  <w:footnote w:id="19">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I Koningen 22,40 (‘De HEER houdt vast’).</w:t>
      </w:r>
    </w:p>
  </w:footnote>
  <w:footnote w:id="20">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II Koningen 3,1 (‘De HEER is verheven’).</w:t>
      </w:r>
    </w:p>
  </w:footnote>
  <w:footnote w:id="21">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II Koningen 8,26 (‘De HEER is groot’).</w:t>
      </w:r>
    </w:p>
  </w:footnote>
  <w:footnote w:id="22">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Liedboek (2013) 904:1.</w:t>
      </w:r>
    </w:p>
  </w:footnote>
  <w:footnote w:id="23">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Heidelbergse Catechismus Zondag 45.118.</w:t>
      </w:r>
    </w:p>
  </w:footnote>
  <w:footnote w:id="24">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Jozua 7.</w:t>
      </w:r>
    </w:p>
  </w:footnote>
  <w:footnote w:id="25">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Exodus 20,5.</w:t>
      </w:r>
    </w:p>
  </w:footnote>
  <w:footnote w:id="26">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Psalm 111,10.</w:t>
      </w:r>
    </w:p>
  </w:footnote>
  <w:footnote w:id="27">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Gereformeerd Kerkboek Psalm 27:7; II Korintiërs 12,9.</w:t>
      </w:r>
    </w:p>
  </w:footnote>
  <w:footnote w:id="28">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Naar Hebreeën 11,10.</w:t>
      </w:r>
    </w:p>
  </w:footnote>
  <w:footnote w:id="29">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Openbaring 18,24.</w:t>
      </w:r>
    </w:p>
  </w:footnote>
  <w:footnote w:id="30">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Idem, in NGB-’51- vertaling.</w:t>
      </w:r>
    </w:p>
  </w:footnote>
  <w:footnote w:id="31">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Openbaring 21,2.</w:t>
      </w:r>
    </w:p>
  </w:footnote>
  <w:footnote w:id="32">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Openbaring 21,14.</w:t>
      </w:r>
    </w:p>
  </w:footnote>
  <w:footnote w:id="33">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Openbaring 21,2.</w:t>
      </w:r>
    </w:p>
  </w:footnote>
  <w:footnote w:id="34">
    <w:p w:rsidR="00FB5DD8" w:rsidRPr="00FB5DD8" w:rsidRDefault="00FB5DD8" w:rsidP="00FB5DD8">
      <w:pPr>
        <w:pStyle w:val="Voetnoottekst1"/>
        <w:rPr>
          <w:sz w:val="14"/>
          <w:szCs w:val="16"/>
        </w:rPr>
      </w:pPr>
      <w:r w:rsidRPr="00FB5DD8">
        <w:rPr>
          <w:rStyle w:val="Voetnootmarkering"/>
          <w:sz w:val="14"/>
          <w:szCs w:val="16"/>
        </w:rPr>
        <w:footnoteRef/>
      </w:r>
      <w:r w:rsidRPr="00FB5DD8">
        <w:rPr>
          <w:sz w:val="14"/>
          <w:szCs w:val="16"/>
        </w:rPr>
        <w:t xml:space="preserve"> Openbaring 21,25.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F71A7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414829" o:spid="_x0000_s2050" type="#_x0000_t136" style="position:absolute;margin-left:0;margin-top:0;width:465.1pt;height:174.4pt;rotation:315;z-index:-251656192;mso-position-horizontal:center;mso-position-horizontal-relative:margin;mso-position-vertical:center;mso-position-vertical-relative:margin" o:allowincell="f" fillcolor="silver" stroked="f">
          <v:fill opacity=".5"/>
          <v:textpath style="font-family:&quot;Calibri&quot;;font-size:1pt" string="mdvv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F71A7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414830" o:spid="_x0000_s2051"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mdvv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F71A7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414828" o:spid="_x0000_s2049" type="#_x0000_t136" style="position:absolute;margin-left:0;margin-top:0;width:465.1pt;height:174.4pt;rotation:315;z-index:-251658240;mso-position-horizontal:center;mso-position-horizontal-relative:margin;mso-position-vertical:center;mso-position-vertical-relative:margin" o:allowincell="f" fillcolor="silver" stroked="f">
          <v:fill opacity=".5"/>
          <v:textpath style="font-family:&quot;Calibri&quot;;font-size:1pt" string="mdvvd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2C3"/>
    <w:multiLevelType w:val="hybridMultilevel"/>
    <w:tmpl w:val="DCB0E39C"/>
    <w:lvl w:ilvl="0" w:tplc="1B10BB9C">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0A2FE4"/>
    <w:multiLevelType w:val="hybridMultilevel"/>
    <w:tmpl w:val="FA3A0D46"/>
    <w:lvl w:ilvl="0" w:tplc="DA5EFE3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D8"/>
    <w:rsid w:val="000E54BE"/>
    <w:rsid w:val="0014402A"/>
    <w:rsid w:val="00605F83"/>
    <w:rsid w:val="00751E2A"/>
    <w:rsid w:val="00810313"/>
    <w:rsid w:val="00987F76"/>
    <w:rsid w:val="00AC3F0B"/>
    <w:rsid w:val="00F71A75"/>
    <w:rsid w:val="00FB5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FA23C94-02AA-4812-9C2C-8710F582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FB5D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unhideWhenUsed/>
    <w:rsid w:val="00FB5DD8"/>
    <w:rPr>
      <w:vertAlign w:val="superscript"/>
    </w:rPr>
  </w:style>
  <w:style w:type="paragraph" w:customStyle="1" w:styleId="Voetnoottekst1">
    <w:name w:val="Voetnoottekst1"/>
    <w:basedOn w:val="Standaard"/>
    <w:next w:val="Voetnoottekst"/>
    <w:link w:val="VoetnoottekstChar"/>
    <w:uiPriority w:val="99"/>
    <w:semiHidden/>
    <w:unhideWhenUsed/>
    <w:rsid w:val="00FB5DD8"/>
    <w:pPr>
      <w:spacing w:after="0" w:line="240" w:lineRule="auto"/>
    </w:pPr>
    <w:rPr>
      <w:sz w:val="20"/>
      <w:szCs w:val="20"/>
    </w:rPr>
  </w:style>
  <w:style w:type="character" w:customStyle="1" w:styleId="VoetnoottekstChar">
    <w:name w:val="Voetnoottekst Char"/>
    <w:basedOn w:val="Standaardalinea-lettertype"/>
    <w:link w:val="Voetnoottekst1"/>
    <w:uiPriority w:val="99"/>
    <w:semiHidden/>
    <w:rsid w:val="00FB5DD8"/>
    <w:rPr>
      <w:sz w:val="20"/>
      <w:szCs w:val="20"/>
    </w:rPr>
  </w:style>
  <w:style w:type="paragraph" w:styleId="Voetnoottekst">
    <w:name w:val="footnote text"/>
    <w:basedOn w:val="Standaard"/>
    <w:link w:val="VoetnoottekstChar1"/>
    <w:uiPriority w:val="99"/>
    <w:semiHidden/>
    <w:unhideWhenUsed/>
    <w:rsid w:val="00FB5DD8"/>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FB5DD8"/>
    <w:rPr>
      <w:sz w:val="20"/>
      <w:szCs w:val="20"/>
    </w:rPr>
  </w:style>
  <w:style w:type="paragraph" w:styleId="Koptekst">
    <w:name w:val="header"/>
    <w:basedOn w:val="Standaard"/>
    <w:link w:val="KoptekstChar"/>
    <w:uiPriority w:val="99"/>
    <w:unhideWhenUsed/>
    <w:rsid w:val="00FB5D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5DD8"/>
  </w:style>
  <w:style w:type="paragraph" w:styleId="Voettekst">
    <w:name w:val="footer"/>
    <w:basedOn w:val="Standaard"/>
    <w:link w:val="VoettekstChar"/>
    <w:uiPriority w:val="99"/>
    <w:unhideWhenUsed/>
    <w:rsid w:val="00FB5D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5DD8"/>
  </w:style>
  <w:style w:type="paragraph" w:styleId="Geenafstand">
    <w:name w:val="No Spacing"/>
    <w:uiPriority w:val="1"/>
    <w:qFormat/>
    <w:rsid w:val="00FB5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2043</Words>
  <Characters>11241</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de Vries</dc:creator>
  <cp:keywords/>
  <dc:description/>
  <cp:lastModifiedBy>Marten de Vries</cp:lastModifiedBy>
  <cp:revision>2</cp:revision>
  <dcterms:created xsi:type="dcterms:W3CDTF">2016-11-29T09:36:00Z</dcterms:created>
  <dcterms:modified xsi:type="dcterms:W3CDTF">2016-11-29T09:40:00Z</dcterms:modified>
</cp:coreProperties>
</file>